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R4-2213686</w:t>
      </w:r>
      <w:bookmarkStart w:id="93" w:name="_GoBack"/>
      <w:bookmarkEnd w:id="93"/>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11.12.2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coexistence evaluation for ATG network</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In this contribution, we want to share some initial views on coexistence study for ATG coexistence.</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2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scenario</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As indicated in the objective, there are three example bands requested for ATG network standardization in Rel-18 and its coexistence scenarios could be found in following Figure 2.1-1 for band n1, Figure 2.1-2 for band n78 and Figure 2.1-3 for band n79.</w:t>
      </w:r>
    </w:p>
    <w:p>
      <w:r>
        <w:drawing>
          <wp:inline distT="0" distB="0" distL="114300" distR="114300">
            <wp:extent cx="5272405" cy="2329815"/>
            <wp:effectExtent l="0" t="0" r="4445" b="1333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5272405" cy="232981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b/>
          <w:bCs/>
          <w:sz w:val="20"/>
          <w:lang w:val="en-US" w:eastAsia="zh-CN"/>
        </w:rPr>
        <w:t>Figure 2.1-1. coexistence scenario for band n1</w:t>
      </w:r>
    </w:p>
    <w:p>
      <w:pPr>
        <w:rPr>
          <w:rFonts w:hint="eastAsia"/>
          <w:color w:val="auto"/>
          <w:lang w:val="en-US" w:eastAsia="zh-CN"/>
        </w:rPr>
      </w:pPr>
    </w:p>
    <w:p>
      <w:pPr>
        <w:jc w:val="center"/>
        <w:rPr>
          <w:rFonts w:hint="eastAsia"/>
          <w:color w:val="auto"/>
          <w:lang w:val="en-US" w:eastAsia="zh-CN"/>
        </w:rPr>
      </w:pPr>
      <w:r>
        <w:rPr>
          <w:color w:val="auto"/>
        </w:rPr>
        <w:drawing>
          <wp:inline distT="0" distB="0" distL="114300" distR="114300">
            <wp:extent cx="3550920" cy="449580"/>
            <wp:effectExtent l="0" t="0" r="11430" b="762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6"/>
                    <a:stretch>
                      <a:fillRect/>
                    </a:stretch>
                  </pic:blipFill>
                  <pic:spPr>
                    <a:xfrm>
                      <a:off x="0" y="0"/>
                      <a:ext cx="3550920" cy="44958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b/>
          <w:bCs/>
          <w:sz w:val="20"/>
          <w:lang w:val="en-US" w:eastAsia="zh-CN"/>
        </w:rPr>
      </w:pPr>
      <w:r>
        <w:rPr>
          <w:rFonts w:hint="eastAsia"/>
          <w:b/>
          <w:bCs/>
          <w:sz w:val="20"/>
          <w:lang w:val="en-US" w:eastAsia="zh-CN"/>
        </w:rPr>
        <w:t>Figure 2.1.-2. coexistence scenario for band n78</w:t>
      </w:r>
    </w:p>
    <w:p>
      <w:pPr>
        <w:rPr>
          <w:rFonts w:hint="eastAsia"/>
          <w:lang w:val="en-US" w:eastAsia="zh-CN"/>
        </w:rPr>
      </w:pPr>
    </w:p>
    <w:p>
      <w:pPr>
        <w:jc w:val="center"/>
      </w:pPr>
      <w:r>
        <w:drawing>
          <wp:inline distT="0" distB="0" distL="114300" distR="114300">
            <wp:extent cx="3550920" cy="426720"/>
            <wp:effectExtent l="0" t="0" r="11430" b="1143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7"/>
                    <a:stretch>
                      <a:fillRect/>
                    </a:stretch>
                  </pic:blipFill>
                  <pic:spPr>
                    <a:xfrm>
                      <a:off x="0" y="0"/>
                      <a:ext cx="3550920" cy="42672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b/>
          <w:bCs/>
          <w:sz w:val="20"/>
          <w:lang w:val="en-US" w:eastAsia="zh-CN"/>
        </w:rPr>
      </w:pPr>
      <w:r>
        <w:rPr>
          <w:rFonts w:hint="eastAsia"/>
          <w:b/>
          <w:bCs/>
          <w:sz w:val="20"/>
          <w:lang w:val="en-US" w:eastAsia="zh-CN"/>
        </w:rPr>
        <w:t>Figure 2.1-3. coexistence scenario for band n79</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Based on the above adjacent spectrum for ATG network deployment, then the coexistence scenario could be summarized as following.The aggressor and victim combinations are listed in Table 2.1-1.</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 xml:space="preserve">Table </w:t>
      </w:r>
      <w:r>
        <w:rPr>
          <w:rFonts w:hint="eastAsia"/>
          <w:b/>
          <w:bCs/>
          <w:sz w:val="20"/>
          <w:lang w:val="en-US" w:eastAsia="zh-CN"/>
        </w:rPr>
        <w:t>2</w:t>
      </w:r>
      <w:r>
        <w:rPr>
          <w:rFonts w:hint="eastAsia"/>
          <w:b/>
          <w:bCs/>
          <w:sz w:val="20"/>
          <w:lang w:val="zh-CN" w:eastAsia="zh-CN"/>
        </w:rPr>
        <w:t>.1-</w:t>
      </w:r>
      <w:r>
        <w:rPr>
          <w:rFonts w:hint="eastAsia"/>
          <w:b/>
          <w:bCs/>
          <w:sz w:val="20"/>
          <w:lang w:val="en-US" w:eastAsia="zh-CN"/>
        </w:rPr>
        <w:t>1:</w:t>
      </w:r>
      <w:r>
        <w:rPr>
          <w:rFonts w:hint="eastAsia"/>
          <w:b/>
          <w:bCs/>
          <w:sz w:val="20"/>
          <w:lang w:val="zh-CN" w:eastAsia="zh-CN"/>
        </w:rPr>
        <w:t xml:space="preserve"> Aggressor and victim </w:t>
      </w:r>
    </w:p>
    <w:tbl>
      <w:tblPr>
        <w:tblStyle w:val="9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9"/>
        <w:gridCol w:w="1539"/>
        <w:gridCol w:w="1306"/>
        <w:gridCol w:w="1278"/>
        <w:gridCol w:w="3557"/>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 w:type="pct"/>
            <w:shd w:val="clear" w:color="auto" w:fill="auto"/>
          </w:tcPr>
          <w:p>
            <w:pPr>
              <w:pStyle w:val="34"/>
              <w:overflowPunct w:val="0"/>
              <w:autoSpaceDE w:val="0"/>
              <w:autoSpaceDN w:val="0"/>
              <w:adjustRightInd w:val="0"/>
              <w:spacing w:after="180"/>
              <w:textAlignment w:val="baseline"/>
              <w:rPr>
                <w:rFonts w:eastAsia="Yu Mincho"/>
              </w:rPr>
            </w:pPr>
            <w:bookmarkStart w:id="5" w:name="OLE_LINK6"/>
            <w:r>
              <w:rPr>
                <w:rFonts w:hint="eastAsia" w:eastAsia="Yu Mincho"/>
              </w:rPr>
              <w:t>No.</w:t>
            </w:r>
          </w:p>
        </w:tc>
        <w:tc>
          <w:tcPr>
            <w:tcW w:w="772" w:type="pct"/>
            <w:shd w:val="clear" w:color="auto" w:fill="auto"/>
          </w:tcPr>
          <w:p>
            <w:pPr>
              <w:pStyle w:val="34"/>
              <w:overflowPunct w:val="0"/>
              <w:autoSpaceDE w:val="0"/>
              <w:autoSpaceDN w:val="0"/>
              <w:adjustRightInd w:val="0"/>
              <w:spacing w:after="180"/>
              <w:textAlignment w:val="baseline"/>
              <w:rPr>
                <w:rFonts w:eastAsia="Yu Mincho"/>
              </w:rPr>
            </w:pPr>
            <w:r>
              <w:rPr>
                <w:rFonts w:eastAsia="Yu Mincho"/>
              </w:rPr>
              <w:t>Combination</w:t>
            </w:r>
          </w:p>
        </w:tc>
        <w:tc>
          <w:tcPr>
            <w:tcW w:w="655" w:type="pct"/>
            <w:shd w:val="clear" w:color="auto" w:fill="auto"/>
          </w:tcPr>
          <w:p>
            <w:pPr>
              <w:pStyle w:val="34"/>
              <w:overflowPunct w:val="0"/>
              <w:autoSpaceDE w:val="0"/>
              <w:autoSpaceDN w:val="0"/>
              <w:adjustRightInd w:val="0"/>
              <w:spacing w:after="180"/>
              <w:textAlignment w:val="baseline"/>
              <w:rPr>
                <w:rFonts w:eastAsia="Yu Mincho"/>
              </w:rPr>
            </w:pPr>
            <w:r>
              <w:rPr>
                <w:rFonts w:eastAsia="Yu Mincho"/>
              </w:rPr>
              <w:t>Aggressor</w:t>
            </w:r>
          </w:p>
        </w:tc>
        <w:tc>
          <w:tcPr>
            <w:tcW w:w="641" w:type="pct"/>
            <w:shd w:val="clear" w:color="auto" w:fill="auto"/>
          </w:tcPr>
          <w:p>
            <w:pPr>
              <w:pStyle w:val="34"/>
              <w:overflowPunct w:val="0"/>
              <w:autoSpaceDE w:val="0"/>
              <w:autoSpaceDN w:val="0"/>
              <w:adjustRightInd w:val="0"/>
              <w:spacing w:after="180"/>
              <w:textAlignment w:val="baseline"/>
              <w:rPr>
                <w:rFonts w:eastAsia="Yu Mincho"/>
              </w:rPr>
            </w:pPr>
            <w:r>
              <w:rPr>
                <w:rFonts w:eastAsia="Yu Mincho"/>
              </w:rPr>
              <w:t>Victim</w:t>
            </w:r>
          </w:p>
        </w:tc>
        <w:tc>
          <w:tcPr>
            <w:tcW w:w="1784" w:type="pct"/>
            <w:shd w:val="clear" w:color="auto" w:fill="auto"/>
          </w:tcPr>
          <w:p>
            <w:pPr>
              <w:pStyle w:val="34"/>
              <w:overflowPunct w:val="0"/>
              <w:autoSpaceDE w:val="0"/>
              <w:autoSpaceDN w:val="0"/>
              <w:adjustRightInd w:val="0"/>
              <w:spacing w:after="180"/>
              <w:textAlignment w:val="baseline"/>
              <w:rPr>
                <w:rFonts w:eastAsia="Yu Mincho"/>
              </w:rPr>
            </w:pPr>
            <w:r>
              <w:rPr>
                <w:rFonts w:eastAsia="Yu Mincho"/>
              </w:rPr>
              <w:t>Notes</w:t>
            </w:r>
          </w:p>
        </w:tc>
        <w:tc>
          <w:tcPr>
            <w:tcW w:w="849" w:type="pct"/>
            <w:shd w:val="clear" w:color="auto" w:fill="auto"/>
          </w:tcPr>
          <w:p>
            <w:pPr>
              <w:pStyle w:val="34"/>
              <w:overflowPunct w:val="0"/>
              <w:autoSpaceDE w:val="0"/>
              <w:autoSpaceDN w:val="0"/>
              <w:adjustRightInd w:val="0"/>
              <w:spacing w:after="180"/>
              <w:textAlignment w:val="baseline"/>
              <w:rPr>
                <w:rFonts w:eastAsia="Yu Mincho"/>
              </w:rPr>
            </w:pPr>
            <w:r>
              <w:rPr>
                <w:rFonts w:eastAsia="Yu Mincho"/>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 w:type="pct"/>
          </w:tcPr>
          <w:p>
            <w:pPr>
              <w:pStyle w:val="35"/>
              <w:overflowPunct w:val="0"/>
              <w:autoSpaceDE w:val="0"/>
              <w:autoSpaceDN w:val="0"/>
              <w:adjustRightInd w:val="0"/>
              <w:spacing w:after="180"/>
              <w:textAlignment w:val="baseline"/>
              <w:rPr>
                <w:rFonts w:eastAsia="Yu Mincho"/>
              </w:rPr>
            </w:pPr>
            <w:r>
              <w:rPr>
                <w:rFonts w:hint="eastAsia" w:eastAsia="Yu Mincho"/>
              </w:rPr>
              <w:t>1</w:t>
            </w:r>
          </w:p>
        </w:tc>
        <w:tc>
          <w:tcPr>
            <w:tcW w:w="772" w:type="pct"/>
          </w:tcPr>
          <w:p>
            <w:pPr>
              <w:pStyle w:val="35"/>
              <w:overflowPunct w:val="0"/>
              <w:autoSpaceDE w:val="0"/>
              <w:autoSpaceDN w:val="0"/>
              <w:adjustRightInd w:val="0"/>
              <w:spacing w:after="180"/>
              <w:textAlignment w:val="baseline"/>
              <w:rPr>
                <w:rFonts w:hint="default" w:eastAsia="宋体"/>
                <w:lang w:val="en-US" w:eastAsia="zh-CN"/>
              </w:rPr>
            </w:pPr>
            <w:r>
              <w:rPr>
                <w:rFonts w:hint="eastAsia" w:eastAsia="Yu Mincho"/>
              </w:rPr>
              <w:t xml:space="preserve">TN with </w:t>
            </w:r>
            <w:r>
              <w:rPr>
                <w:rFonts w:hint="eastAsia" w:eastAsia="宋体"/>
                <w:lang w:val="en-US" w:eastAsia="zh-CN"/>
              </w:rPr>
              <w:t>ATG</w:t>
            </w:r>
          </w:p>
        </w:tc>
        <w:tc>
          <w:tcPr>
            <w:tcW w:w="655" w:type="pct"/>
          </w:tcPr>
          <w:p>
            <w:pPr>
              <w:pStyle w:val="35"/>
              <w:overflowPunct w:val="0"/>
              <w:autoSpaceDE w:val="0"/>
              <w:autoSpaceDN w:val="0"/>
              <w:adjustRightInd w:val="0"/>
              <w:spacing w:after="180"/>
              <w:textAlignment w:val="baseline"/>
              <w:rPr>
                <w:rFonts w:eastAsia="Yu Mincho"/>
              </w:rPr>
            </w:pPr>
            <w:r>
              <w:rPr>
                <w:rFonts w:hint="eastAsia" w:eastAsia="宋体"/>
                <w:lang w:val="en-US" w:eastAsia="zh-CN"/>
              </w:rPr>
              <w:t>ATG</w:t>
            </w:r>
            <w:r>
              <w:rPr>
                <w:rFonts w:hint="eastAsia" w:eastAsia="Yu Mincho"/>
              </w:rPr>
              <w:t xml:space="preserve"> DL</w:t>
            </w:r>
          </w:p>
        </w:tc>
        <w:tc>
          <w:tcPr>
            <w:tcW w:w="641" w:type="pct"/>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TN DL</w:t>
            </w:r>
          </w:p>
        </w:tc>
        <w:tc>
          <w:tcPr>
            <w:tcW w:w="1784" w:type="pct"/>
            <w:vAlign w:val="top"/>
          </w:tcPr>
          <w:p>
            <w:pPr>
              <w:pStyle w:val="36"/>
              <w:overflowPunct w:val="0"/>
              <w:autoSpaceDE w:val="0"/>
              <w:autoSpaceDN w:val="0"/>
              <w:adjustRightInd w:val="0"/>
              <w:spacing w:after="180"/>
              <w:textAlignment w:val="baseline"/>
              <w:rPr>
                <w:rFonts w:hint="default" w:ascii="Arial" w:hAnsi="Arial" w:eastAsia="宋体" w:cstheme="minorBidi"/>
                <w:b/>
                <w:kern w:val="2"/>
                <w:sz w:val="18"/>
                <w:szCs w:val="24"/>
                <w:lang w:val="en-US" w:eastAsia="zh-CN" w:bidi="ar-SA"/>
              </w:rPr>
            </w:pPr>
            <w:r>
              <w:rPr>
                <w:rFonts w:hint="eastAsia" w:eastAsia="宋体"/>
                <w:b w:val="0"/>
                <w:bCs/>
                <w:lang w:val="en-US" w:eastAsia="zh-CN"/>
              </w:rPr>
              <w:t>Applicable for n1, n78 and n79</w:t>
            </w:r>
          </w:p>
        </w:tc>
        <w:tc>
          <w:tcPr>
            <w:tcW w:w="849" w:type="pct"/>
          </w:tcPr>
          <w:p>
            <w:pPr>
              <w:pStyle w:val="35"/>
              <w:overflowPunct w:val="0"/>
              <w:autoSpaceDE w:val="0"/>
              <w:autoSpaceDN w:val="0"/>
              <w:adjustRightInd w:val="0"/>
              <w:spacing w:after="180"/>
              <w:textAlignment w:val="baseline"/>
              <w:rPr>
                <w:rFonts w:eastAsia="Yu Mincho"/>
              </w:rPr>
            </w:pPr>
            <w:r>
              <w:rPr>
                <w:rFonts w:eastAsia="Yu Minch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 w:type="pct"/>
          </w:tcPr>
          <w:p>
            <w:pPr>
              <w:pStyle w:val="35"/>
              <w:overflowPunct w:val="0"/>
              <w:autoSpaceDE w:val="0"/>
              <w:autoSpaceDN w:val="0"/>
              <w:adjustRightInd w:val="0"/>
              <w:spacing w:after="180"/>
              <w:textAlignment w:val="baseline"/>
              <w:rPr>
                <w:rFonts w:eastAsia="Yu Mincho"/>
              </w:rPr>
            </w:pPr>
            <w:r>
              <w:rPr>
                <w:rFonts w:hint="eastAsia" w:eastAsia="Yu Mincho"/>
              </w:rPr>
              <w:t>2</w:t>
            </w:r>
          </w:p>
        </w:tc>
        <w:tc>
          <w:tcPr>
            <w:tcW w:w="772" w:type="pct"/>
          </w:tcPr>
          <w:p>
            <w:pPr>
              <w:pStyle w:val="35"/>
              <w:overflowPunct w:val="0"/>
              <w:autoSpaceDE w:val="0"/>
              <w:autoSpaceDN w:val="0"/>
              <w:adjustRightInd w:val="0"/>
              <w:spacing w:after="180"/>
              <w:textAlignment w:val="baseline"/>
              <w:rPr>
                <w:rFonts w:eastAsia="Yu Mincho"/>
              </w:rPr>
            </w:pPr>
            <w:r>
              <w:rPr>
                <w:rFonts w:hint="eastAsia" w:eastAsia="Yu Mincho"/>
              </w:rPr>
              <w:t xml:space="preserve">TN with </w:t>
            </w:r>
            <w:r>
              <w:rPr>
                <w:rFonts w:hint="eastAsia" w:eastAsia="宋体"/>
                <w:lang w:val="en-US" w:eastAsia="zh-CN"/>
              </w:rPr>
              <w:t>ATG</w:t>
            </w:r>
          </w:p>
        </w:tc>
        <w:tc>
          <w:tcPr>
            <w:tcW w:w="655" w:type="pct"/>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ATG UL</w:t>
            </w:r>
          </w:p>
        </w:tc>
        <w:tc>
          <w:tcPr>
            <w:tcW w:w="641" w:type="pct"/>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TN UL</w:t>
            </w:r>
          </w:p>
        </w:tc>
        <w:tc>
          <w:tcPr>
            <w:tcW w:w="1784" w:type="pct"/>
            <w:vAlign w:val="top"/>
          </w:tcPr>
          <w:p>
            <w:pPr>
              <w:pStyle w:val="36"/>
              <w:overflowPunct w:val="0"/>
              <w:autoSpaceDE w:val="0"/>
              <w:autoSpaceDN w:val="0"/>
              <w:adjustRightInd w:val="0"/>
              <w:spacing w:after="180"/>
              <w:textAlignment w:val="baseline"/>
              <w:rPr>
                <w:rFonts w:hint="default" w:ascii="Arial" w:hAnsi="Arial" w:eastAsia="Yu Mincho" w:cstheme="minorBidi"/>
                <w:b/>
                <w:kern w:val="2"/>
                <w:sz w:val="18"/>
                <w:szCs w:val="24"/>
                <w:lang w:val="en-US" w:eastAsia="ja-JP" w:bidi="ar-SA"/>
              </w:rPr>
            </w:pPr>
            <w:r>
              <w:rPr>
                <w:rFonts w:hint="eastAsia" w:eastAsia="宋体"/>
                <w:b w:val="0"/>
                <w:bCs/>
                <w:lang w:val="en-US" w:eastAsia="zh-CN"/>
              </w:rPr>
              <w:t>Applicable for n1, n78 and n79</w:t>
            </w:r>
          </w:p>
        </w:tc>
        <w:tc>
          <w:tcPr>
            <w:tcW w:w="849" w:type="pct"/>
          </w:tcPr>
          <w:p>
            <w:pPr>
              <w:pStyle w:val="35"/>
              <w:overflowPunct w:val="0"/>
              <w:autoSpaceDE w:val="0"/>
              <w:autoSpaceDN w:val="0"/>
              <w:adjustRightInd w:val="0"/>
              <w:spacing w:after="180"/>
              <w:textAlignment w:val="baseline"/>
              <w:rPr>
                <w:rFonts w:eastAsia="Yu Mincho"/>
              </w:rPr>
            </w:pPr>
            <w:r>
              <w:rPr>
                <w:rFonts w:hint="eastAsia" w:eastAsia="Yu Mincho"/>
              </w:rPr>
              <w:t>P</w:t>
            </w:r>
            <w:r>
              <w:rPr>
                <w:rFonts w:eastAsia="Yu Mincho"/>
              </w:rPr>
              <w:t>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 w:type="pct"/>
          </w:tcPr>
          <w:p>
            <w:pPr>
              <w:pStyle w:val="35"/>
              <w:overflowPunct w:val="0"/>
              <w:autoSpaceDE w:val="0"/>
              <w:autoSpaceDN w:val="0"/>
              <w:adjustRightInd w:val="0"/>
              <w:spacing w:after="180"/>
              <w:textAlignment w:val="baseline"/>
              <w:rPr>
                <w:rFonts w:eastAsia="Yu Mincho"/>
              </w:rPr>
            </w:pPr>
            <w:r>
              <w:rPr>
                <w:rFonts w:hint="eastAsia" w:eastAsia="Yu Mincho"/>
              </w:rPr>
              <w:t>3</w:t>
            </w:r>
          </w:p>
        </w:tc>
        <w:tc>
          <w:tcPr>
            <w:tcW w:w="772" w:type="pct"/>
          </w:tcPr>
          <w:p>
            <w:pPr>
              <w:pStyle w:val="35"/>
              <w:overflowPunct w:val="0"/>
              <w:autoSpaceDE w:val="0"/>
              <w:autoSpaceDN w:val="0"/>
              <w:adjustRightInd w:val="0"/>
              <w:spacing w:after="180"/>
              <w:textAlignment w:val="baseline"/>
              <w:rPr>
                <w:rFonts w:eastAsia="Yu Mincho"/>
              </w:rPr>
            </w:pPr>
            <w:r>
              <w:rPr>
                <w:rFonts w:hint="eastAsia" w:eastAsia="Yu Mincho"/>
              </w:rPr>
              <w:t xml:space="preserve">TN with </w:t>
            </w:r>
            <w:r>
              <w:rPr>
                <w:rFonts w:hint="eastAsia" w:eastAsia="宋体"/>
                <w:lang w:val="en-US" w:eastAsia="zh-CN"/>
              </w:rPr>
              <w:t>ATG</w:t>
            </w:r>
          </w:p>
        </w:tc>
        <w:tc>
          <w:tcPr>
            <w:tcW w:w="655" w:type="pct"/>
            <w:vAlign w:val="top"/>
          </w:tcPr>
          <w:p>
            <w:pPr>
              <w:pStyle w:val="35"/>
              <w:overflowPunct w:val="0"/>
              <w:autoSpaceDE w:val="0"/>
              <w:autoSpaceDN w:val="0"/>
              <w:adjustRightInd w:val="0"/>
              <w:spacing w:after="180"/>
              <w:textAlignment w:val="baseline"/>
              <w:rPr>
                <w:rFonts w:ascii="Arial" w:hAnsi="Arial" w:eastAsia="Yu Mincho" w:cstheme="minorBidi"/>
                <w:kern w:val="2"/>
                <w:sz w:val="18"/>
                <w:szCs w:val="24"/>
                <w:lang w:val="en-US" w:eastAsia="zh-CN" w:bidi="ar-SA"/>
              </w:rPr>
            </w:pPr>
            <w:r>
              <w:rPr>
                <w:rFonts w:hint="eastAsia" w:eastAsia="宋体"/>
                <w:lang w:val="en-US" w:eastAsia="zh-CN"/>
              </w:rPr>
              <w:t>TN</w:t>
            </w:r>
            <w:r>
              <w:rPr>
                <w:rFonts w:hint="eastAsia" w:eastAsia="Yu Mincho"/>
              </w:rPr>
              <w:t xml:space="preserve"> DL</w:t>
            </w:r>
          </w:p>
        </w:tc>
        <w:tc>
          <w:tcPr>
            <w:tcW w:w="641" w:type="pct"/>
            <w:vAlign w:val="top"/>
          </w:tcPr>
          <w:p>
            <w:pPr>
              <w:pStyle w:val="35"/>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hint="eastAsia" w:eastAsia="宋体"/>
                <w:lang w:val="en-US" w:eastAsia="zh-CN"/>
              </w:rPr>
              <w:t>ATG DL</w:t>
            </w:r>
          </w:p>
        </w:tc>
        <w:tc>
          <w:tcPr>
            <w:tcW w:w="1784" w:type="pct"/>
            <w:vAlign w:val="top"/>
          </w:tcPr>
          <w:p>
            <w:pPr>
              <w:pStyle w:val="36"/>
              <w:overflowPunct w:val="0"/>
              <w:autoSpaceDE w:val="0"/>
              <w:autoSpaceDN w:val="0"/>
              <w:adjustRightInd w:val="0"/>
              <w:spacing w:after="180"/>
              <w:textAlignment w:val="baseline"/>
              <w:rPr>
                <w:rFonts w:hint="default" w:ascii="Arial" w:hAnsi="Arial" w:eastAsia="Yu Mincho" w:cstheme="minorBidi"/>
                <w:b/>
                <w:kern w:val="2"/>
                <w:sz w:val="18"/>
                <w:szCs w:val="24"/>
                <w:lang w:val="en-US" w:eastAsia="ja-JP" w:bidi="ar-SA"/>
              </w:rPr>
            </w:pPr>
            <w:r>
              <w:rPr>
                <w:rFonts w:hint="eastAsia" w:eastAsia="宋体"/>
                <w:b w:val="0"/>
                <w:bCs/>
                <w:lang w:val="en-US" w:eastAsia="zh-CN"/>
              </w:rPr>
              <w:t>Applicable for n1, n78 and n79</w:t>
            </w:r>
          </w:p>
        </w:tc>
        <w:tc>
          <w:tcPr>
            <w:tcW w:w="849" w:type="pct"/>
            <w:vAlign w:val="top"/>
          </w:tcPr>
          <w:p>
            <w:pPr>
              <w:pStyle w:val="35"/>
              <w:overflowPunct w:val="0"/>
              <w:autoSpaceDE w:val="0"/>
              <w:autoSpaceDN w:val="0"/>
              <w:adjustRightInd w:val="0"/>
              <w:spacing w:after="180"/>
              <w:textAlignment w:val="baseline"/>
              <w:rPr>
                <w:rFonts w:ascii="Arial" w:hAnsi="Arial" w:eastAsia="Yu Mincho" w:cstheme="minorBidi"/>
                <w:kern w:val="2"/>
                <w:sz w:val="18"/>
                <w:szCs w:val="24"/>
                <w:lang w:val="en-US" w:eastAsia="zh-CN" w:bidi="ar-SA"/>
              </w:rPr>
            </w:pPr>
            <w:r>
              <w:rPr>
                <w:rFonts w:eastAsia="Yu Minch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 w:type="pct"/>
          </w:tcPr>
          <w:p>
            <w:pPr>
              <w:pStyle w:val="35"/>
              <w:overflowPunct w:val="0"/>
              <w:autoSpaceDE w:val="0"/>
              <w:autoSpaceDN w:val="0"/>
              <w:adjustRightInd w:val="0"/>
              <w:spacing w:after="180"/>
              <w:textAlignment w:val="baseline"/>
              <w:rPr>
                <w:rFonts w:eastAsia="Yu Mincho"/>
              </w:rPr>
            </w:pPr>
            <w:r>
              <w:rPr>
                <w:rFonts w:hint="eastAsia" w:eastAsia="Yu Mincho"/>
              </w:rPr>
              <w:t>4</w:t>
            </w:r>
          </w:p>
        </w:tc>
        <w:tc>
          <w:tcPr>
            <w:tcW w:w="772" w:type="pct"/>
          </w:tcPr>
          <w:p>
            <w:pPr>
              <w:pStyle w:val="35"/>
              <w:overflowPunct w:val="0"/>
              <w:autoSpaceDE w:val="0"/>
              <w:autoSpaceDN w:val="0"/>
              <w:adjustRightInd w:val="0"/>
              <w:spacing w:after="180"/>
              <w:textAlignment w:val="baseline"/>
              <w:rPr>
                <w:rFonts w:eastAsia="Yu Mincho"/>
              </w:rPr>
            </w:pPr>
            <w:r>
              <w:rPr>
                <w:rFonts w:hint="eastAsia" w:eastAsia="Yu Mincho"/>
              </w:rPr>
              <w:t xml:space="preserve">TN with </w:t>
            </w:r>
            <w:r>
              <w:rPr>
                <w:rFonts w:hint="eastAsia" w:eastAsia="宋体"/>
                <w:lang w:val="en-US" w:eastAsia="zh-CN"/>
              </w:rPr>
              <w:t>ATG</w:t>
            </w:r>
          </w:p>
        </w:tc>
        <w:tc>
          <w:tcPr>
            <w:tcW w:w="655" w:type="pct"/>
            <w:vAlign w:val="top"/>
          </w:tcPr>
          <w:p>
            <w:pPr>
              <w:pStyle w:val="35"/>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hint="eastAsia" w:eastAsia="宋体"/>
                <w:lang w:val="en-US" w:eastAsia="zh-CN"/>
              </w:rPr>
              <w:t>TN UL</w:t>
            </w:r>
          </w:p>
        </w:tc>
        <w:tc>
          <w:tcPr>
            <w:tcW w:w="641" w:type="pct"/>
            <w:vAlign w:val="top"/>
          </w:tcPr>
          <w:p>
            <w:pPr>
              <w:pStyle w:val="35"/>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hint="eastAsia" w:eastAsia="宋体"/>
                <w:lang w:val="en-US" w:eastAsia="zh-CN"/>
              </w:rPr>
              <w:t>ATG UL</w:t>
            </w:r>
          </w:p>
        </w:tc>
        <w:tc>
          <w:tcPr>
            <w:tcW w:w="1784" w:type="pct"/>
            <w:vAlign w:val="top"/>
          </w:tcPr>
          <w:p>
            <w:pPr>
              <w:pStyle w:val="36"/>
              <w:overflowPunct w:val="0"/>
              <w:autoSpaceDE w:val="0"/>
              <w:autoSpaceDN w:val="0"/>
              <w:adjustRightInd w:val="0"/>
              <w:spacing w:after="180"/>
              <w:textAlignment w:val="baseline"/>
              <w:rPr>
                <w:rFonts w:hint="default" w:ascii="Arial" w:hAnsi="Arial" w:eastAsia="Yu Mincho" w:cstheme="minorBidi"/>
                <w:b/>
                <w:kern w:val="2"/>
                <w:sz w:val="18"/>
                <w:szCs w:val="24"/>
                <w:lang w:val="en-US" w:eastAsia="ja-JP" w:bidi="ar-SA"/>
              </w:rPr>
            </w:pPr>
            <w:r>
              <w:rPr>
                <w:rFonts w:hint="eastAsia" w:eastAsia="宋体"/>
                <w:b w:val="0"/>
                <w:bCs/>
                <w:lang w:val="en-US" w:eastAsia="zh-CN"/>
              </w:rPr>
              <w:t>Applicable for n1, n78 and n79</w:t>
            </w:r>
          </w:p>
        </w:tc>
        <w:tc>
          <w:tcPr>
            <w:tcW w:w="849" w:type="pct"/>
            <w:vAlign w:val="top"/>
          </w:tcPr>
          <w:p>
            <w:pPr>
              <w:pStyle w:val="35"/>
              <w:overflowPunct w:val="0"/>
              <w:autoSpaceDE w:val="0"/>
              <w:autoSpaceDN w:val="0"/>
              <w:adjustRightInd w:val="0"/>
              <w:spacing w:after="180"/>
              <w:textAlignment w:val="baseline"/>
              <w:rPr>
                <w:rFonts w:ascii="Arial" w:hAnsi="Arial" w:eastAsia="Yu Mincho" w:cstheme="minorBidi"/>
                <w:kern w:val="2"/>
                <w:sz w:val="18"/>
                <w:szCs w:val="24"/>
                <w:lang w:val="en-US" w:eastAsia="zh-CN" w:bidi="ar-SA"/>
              </w:rPr>
            </w:pPr>
            <w:r>
              <w:rPr>
                <w:rFonts w:hint="eastAsia" w:eastAsia="Yu Mincho"/>
              </w:rPr>
              <w:t>P</w:t>
            </w:r>
            <w:r>
              <w:rPr>
                <w:rFonts w:eastAsia="Yu Mincho"/>
              </w:rPr>
              <w:t>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 w:type="pct"/>
          </w:tcPr>
          <w:p>
            <w:pPr>
              <w:pStyle w:val="35"/>
              <w:overflowPunct w:val="0"/>
              <w:autoSpaceDE w:val="0"/>
              <w:autoSpaceDN w:val="0"/>
              <w:adjustRightInd w:val="0"/>
              <w:spacing w:after="180"/>
              <w:textAlignment w:val="baseline"/>
              <w:rPr>
                <w:rFonts w:eastAsia="Yu Mincho"/>
              </w:rPr>
            </w:pPr>
            <w:r>
              <w:rPr>
                <w:rFonts w:hint="eastAsia" w:eastAsia="Yu Mincho"/>
              </w:rPr>
              <w:t>5</w:t>
            </w:r>
          </w:p>
        </w:tc>
        <w:tc>
          <w:tcPr>
            <w:tcW w:w="772" w:type="pct"/>
          </w:tcPr>
          <w:p>
            <w:pPr>
              <w:pStyle w:val="35"/>
              <w:overflowPunct w:val="0"/>
              <w:autoSpaceDE w:val="0"/>
              <w:autoSpaceDN w:val="0"/>
              <w:adjustRightInd w:val="0"/>
              <w:spacing w:after="180"/>
              <w:textAlignment w:val="baseline"/>
              <w:rPr>
                <w:rFonts w:eastAsia="Yu Mincho"/>
              </w:rPr>
            </w:pPr>
            <w:r>
              <w:rPr>
                <w:rFonts w:hint="eastAsia" w:eastAsia="Yu Mincho"/>
              </w:rPr>
              <w:t xml:space="preserve">TN with </w:t>
            </w:r>
            <w:r>
              <w:rPr>
                <w:rFonts w:hint="eastAsia" w:eastAsia="宋体"/>
                <w:lang w:val="en-US" w:eastAsia="zh-CN"/>
              </w:rPr>
              <w:t>ATG</w:t>
            </w:r>
          </w:p>
        </w:tc>
        <w:tc>
          <w:tcPr>
            <w:tcW w:w="655" w:type="pct"/>
          </w:tcPr>
          <w:p>
            <w:pPr>
              <w:pStyle w:val="35"/>
              <w:overflowPunct w:val="0"/>
              <w:autoSpaceDE w:val="0"/>
              <w:autoSpaceDN w:val="0"/>
              <w:adjustRightInd w:val="0"/>
              <w:spacing w:after="180"/>
              <w:jc w:val="both"/>
              <w:textAlignment w:val="baseline"/>
              <w:rPr>
                <w:rFonts w:hint="default" w:eastAsia="宋体"/>
                <w:lang w:val="en-US" w:eastAsia="zh-CN"/>
              </w:rPr>
            </w:pPr>
            <w:r>
              <w:rPr>
                <w:rFonts w:hint="eastAsia" w:eastAsia="宋体"/>
                <w:lang w:val="en-US" w:eastAsia="zh-CN"/>
              </w:rPr>
              <w:t xml:space="preserve">  ATG UL</w:t>
            </w:r>
          </w:p>
        </w:tc>
        <w:tc>
          <w:tcPr>
            <w:tcW w:w="641" w:type="pct"/>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TN DL</w:t>
            </w:r>
          </w:p>
        </w:tc>
        <w:tc>
          <w:tcPr>
            <w:tcW w:w="1784" w:type="pct"/>
          </w:tcPr>
          <w:p>
            <w:pPr>
              <w:pStyle w:val="36"/>
              <w:overflowPunct w:val="0"/>
              <w:autoSpaceDE w:val="0"/>
              <w:autoSpaceDN w:val="0"/>
              <w:adjustRightInd w:val="0"/>
              <w:spacing w:after="180"/>
              <w:textAlignment w:val="baseline"/>
              <w:rPr>
                <w:rFonts w:hint="default" w:eastAsia="宋体"/>
                <w:b/>
                <w:lang w:val="en-US" w:eastAsia="zh-CN"/>
              </w:rPr>
            </w:pPr>
            <w:r>
              <w:rPr>
                <w:rFonts w:hint="eastAsia" w:eastAsia="宋体"/>
                <w:b w:val="0"/>
                <w:bCs/>
                <w:lang w:val="en-US" w:eastAsia="zh-CN"/>
              </w:rPr>
              <w:t>Applicable for n1 coexisting with n39 and n33</w:t>
            </w:r>
          </w:p>
        </w:tc>
        <w:tc>
          <w:tcPr>
            <w:tcW w:w="849" w:type="pct"/>
          </w:tcPr>
          <w:p>
            <w:pPr>
              <w:pStyle w:val="35"/>
              <w:overflowPunct w:val="0"/>
              <w:autoSpaceDE w:val="0"/>
              <w:autoSpaceDN w:val="0"/>
              <w:adjustRightInd w:val="0"/>
              <w:spacing w:after="180"/>
              <w:textAlignment w:val="baseline"/>
              <w:rPr>
                <w:rFonts w:eastAsia="Yu Mincho"/>
              </w:rPr>
            </w:pPr>
            <w:r>
              <w:rPr>
                <w:rFonts w:hint="eastAsia" w:eastAsia="Yu Mincho"/>
              </w:rPr>
              <w:t>P</w:t>
            </w:r>
            <w:r>
              <w:rPr>
                <w:rFonts w:eastAsia="Yu Mincho"/>
              </w:rPr>
              <w:t>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 w:type="pct"/>
          </w:tcPr>
          <w:p>
            <w:pPr>
              <w:pStyle w:val="35"/>
              <w:overflowPunct w:val="0"/>
              <w:autoSpaceDE w:val="0"/>
              <w:autoSpaceDN w:val="0"/>
              <w:adjustRightInd w:val="0"/>
              <w:spacing w:after="180"/>
              <w:textAlignment w:val="baseline"/>
              <w:rPr>
                <w:rFonts w:eastAsia="Yu Mincho"/>
                <w:strike w:val="0"/>
                <w:dstrike w:val="0"/>
              </w:rPr>
            </w:pPr>
            <w:r>
              <w:rPr>
                <w:rFonts w:hint="eastAsia" w:eastAsia="Yu Mincho"/>
                <w:strike w:val="0"/>
                <w:dstrike w:val="0"/>
              </w:rPr>
              <w:t>6</w:t>
            </w:r>
          </w:p>
        </w:tc>
        <w:tc>
          <w:tcPr>
            <w:tcW w:w="772" w:type="pct"/>
          </w:tcPr>
          <w:p>
            <w:pPr>
              <w:pStyle w:val="35"/>
              <w:overflowPunct w:val="0"/>
              <w:autoSpaceDE w:val="0"/>
              <w:autoSpaceDN w:val="0"/>
              <w:adjustRightInd w:val="0"/>
              <w:spacing w:after="180"/>
              <w:textAlignment w:val="baseline"/>
              <w:rPr>
                <w:rFonts w:eastAsia="Yu Mincho"/>
                <w:strike w:val="0"/>
                <w:dstrike w:val="0"/>
              </w:rPr>
            </w:pPr>
            <w:r>
              <w:rPr>
                <w:rFonts w:hint="eastAsia" w:eastAsia="Yu Mincho"/>
                <w:strike w:val="0"/>
                <w:dstrike w:val="0"/>
              </w:rPr>
              <w:t xml:space="preserve">TN with </w:t>
            </w:r>
            <w:r>
              <w:rPr>
                <w:rFonts w:hint="eastAsia" w:eastAsia="宋体"/>
                <w:strike w:val="0"/>
                <w:dstrike w:val="0"/>
                <w:lang w:val="en-US" w:eastAsia="zh-CN"/>
              </w:rPr>
              <w:t>ATG</w:t>
            </w:r>
          </w:p>
        </w:tc>
        <w:tc>
          <w:tcPr>
            <w:tcW w:w="655" w:type="pct"/>
          </w:tcPr>
          <w:p>
            <w:pPr>
              <w:pStyle w:val="35"/>
              <w:overflowPunct w:val="0"/>
              <w:autoSpaceDE w:val="0"/>
              <w:autoSpaceDN w:val="0"/>
              <w:adjustRightInd w:val="0"/>
              <w:spacing w:after="180"/>
              <w:textAlignment w:val="baseline"/>
              <w:rPr>
                <w:rFonts w:eastAsia="Yu Mincho"/>
                <w:strike w:val="0"/>
                <w:dstrike w:val="0"/>
              </w:rPr>
            </w:pPr>
            <w:r>
              <w:rPr>
                <w:rFonts w:hint="eastAsia" w:eastAsia="宋体"/>
                <w:strike w:val="0"/>
                <w:dstrike w:val="0"/>
                <w:lang w:val="en-US" w:eastAsia="zh-CN"/>
              </w:rPr>
              <w:t>TN DL</w:t>
            </w:r>
          </w:p>
        </w:tc>
        <w:tc>
          <w:tcPr>
            <w:tcW w:w="641" w:type="pct"/>
          </w:tcPr>
          <w:p>
            <w:pPr>
              <w:pStyle w:val="35"/>
              <w:overflowPunct w:val="0"/>
              <w:autoSpaceDE w:val="0"/>
              <w:autoSpaceDN w:val="0"/>
              <w:adjustRightInd w:val="0"/>
              <w:spacing w:after="180"/>
              <w:textAlignment w:val="baseline"/>
              <w:rPr>
                <w:rFonts w:eastAsia="Yu Mincho"/>
                <w:strike w:val="0"/>
                <w:dstrike w:val="0"/>
              </w:rPr>
            </w:pPr>
            <w:r>
              <w:rPr>
                <w:rFonts w:hint="eastAsia" w:eastAsia="宋体"/>
                <w:strike w:val="0"/>
                <w:dstrike w:val="0"/>
                <w:lang w:val="en-US" w:eastAsia="zh-CN"/>
              </w:rPr>
              <w:t>ATG UL</w:t>
            </w:r>
          </w:p>
        </w:tc>
        <w:tc>
          <w:tcPr>
            <w:tcW w:w="1784" w:type="pct"/>
          </w:tcPr>
          <w:p>
            <w:pPr>
              <w:pStyle w:val="36"/>
              <w:overflowPunct w:val="0"/>
              <w:autoSpaceDE w:val="0"/>
              <w:autoSpaceDN w:val="0"/>
              <w:adjustRightInd w:val="0"/>
              <w:spacing w:after="180"/>
              <w:textAlignment w:val="baseline"/>
              <w:rPr>
                <w:rFonts w:eastAsia="Yu Mincho"/>
                <w:b/>
                <w:strike w:val="0"/>
                <w:dstrike w:val="0"/>
                <w:lang w:eastAsia="ja-JP"/>
              </w:rPr>
            </w:pPr>
            <w:r>
              <w:rPr>
                <w:rFonts w:hint="eastAsia" w:eastAsia="宋体"/>
                <w:b w:val="0"/>
                <w:bCs/>
                <w:strike w:val="0"/>
                <w:dstrike w:val="0"/>
                <w:lang w:val="en-US" w:eastAsia="zh-CN"/>
              </w:rPr>
              <w:t>Applicable for n1 coexisting with n39 and n33</w:t>
            </w:r>
          </w:p>
        </w:tc>
        <w:tc>
          <w:tcPr>
            <w:tcW w:w="849" w:type="pct"/>
          </w:tcPr>
          <w:p>
            <w:pPr>
              <w:pStyle w:val="35"/>
              <w:overflowPunct w:val="0"/>
              <w:autoSpaceDE w:val="0"/>
              <w:autoSpaceDN w:val="0"/>
              <w:adjustRightInd w:val="0"/>
              <w:spacing w:after="180"/>
              <w:textAlignment w:val="baseline"/>
              <w:rPr>
                <w:rFonts w:eastAsia="Yu Mincho"/>
                <w:strike w:val="0"/>
                <w:dstrike w:val="0"/>
              </w:rPr>
            </w:pPr>
            <w:r>
              <w:rPr>
                <w:rFonts w:hint="eastAsia" w:eastAsia="Yu Mincho"/>
                <w:strike w:val="0"/>
                <w:dstrike w:val="0"/>
              </w:rPr>
              <w:t>P</w:t>
            </w:r>
            <w:r>
              <w:rPr>
                <w:rFonts w:eastAsia="Yu Mincho"/>
                <w:strike w:val="0"/>
                <w:dstrike w:val="0"/>
              </w:rPr>
              <w:t>hase 1</w:t>
            </w:r>
          </w:p>
        </w:tc>
      </w:tr>
      <w:bookmarkEnd w:id="5"/>
    </w:tbl>
    <w:p>
      <w:pPr>
        <w:rPr>
          <w:rFonts w:hint="default"/>
          <w:lang w:val="en-US" w:eastAsia="zh-CN"/>
        </w:rPr>
      </w:pP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The frequency and bandwidth for ATG coexistence study are listed in Table 2.1-2.</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 xml:space="preserve">Table </w:t>
      </w:r>
      <w:r>
        <w:rPr>
          <w:rFonts w:hint="eastAsia"/>
          <w:b/>
          <w:bCs/>
          <w:sz w:val="20"/>
          <w:lang w:val="en-US" w:eastAsia="zh-CN"/>
        </w:rPr>
        <w:t>2</w:t>
      </w:r>
      <w:r>
        <w:rPr>
          <w:rFonts w:hint="eastAsia"/>
          <w:b/>
          <w:bCs/>
          <w:sz w:val="20"/>
          <w:lang w:val="zh-CN" w:eastAsia="zh-CN"/>
        </w:rPr>
        <w:t>.1-</w:t>
      </w:r>
      <w:r>
        <w:rPr>
          <w:rFonts w:hint="eastAsia"/>
          <w:b/>
          <w:bCs/>
          <w:sz w:val="20"/>
          <w:lang w:val="en-US" w:eastAsia="zh-CN"/>
        </w:rPr>
        <w:t>2</w:t>
      </w:r>
      <w:r>
        <w:rPr>
          <w:rFonts w:hint="eastAsia"/>
          <w:b/>
          <w:bCs/>
          <w:sz w:val="20"/>
          <w:lang w:val="zh-CN" w:eastAsia="zh-CN"/>
        </w:rPr>
        <w:t>: Proposed frequency and bandwidth for co-existence study</w:t>
      </w:r>
    </w:p>
    <w:tbl>
      <w:tblPr>
        <w:tblStyle w:val="94"/>
        <w:tblW w:w="47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1317"/>
        <w:gridCol w:w="2345"/>
        <w:gridCol w:w="1609"/>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tcPr>
          <w:p>
            <w:pPr>
              <w:pStyle w:val="34"/>
              <w:overflowPunct w:val="0"/>
              <w:autoSpaceDE w:val="0"/>
              <w:autoSpaceDN w:val="0"/>
              <w:adjustRightInd w:val="0"/>
              <w:spacing w:after="180"/>
              <w:textAlignment w:val="baseline"/>
              <w:rPr>
                <w:rFonts w:eastAsia="Yu Mincho"/>
              </w:rPr>
            </w:pP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bCs/>
              </w:rPr>
              <w:t>Frequency</w:t>
            </w:r>
          </w:p>
        </w:tc>
        <w:tc>
          <w:tcPr>
            <w:tcW w:w="1250" w:type="pct"/>
          </w:tcPr>
          <w:p>
            <w:pPr>
              <w:pStyle w:val="34"/>
              <w:overflowPunct w:val="0"/>
              <w:autoSpaceDE w:val="0"/>
              <w:autoSpaceDN w:val="0"/>
              <w:adjustRightInd w:val="0"/>
              <w:spacing w:after="180"/>
              <w:textAlignment w:val="baseline"/>
              <w:rPr>
                <w:rFonts w:eastAsia="Yu Mincho"/>
              </w:rPr>
            </w:pPr>
            <w:r>
              <w:rPr>
                <w:rFonts w:hint="eastAsia" w:eastAsia="Yu Mincho"/>
                <w:bCs/>
              </w:rPr>
              <w:t>Bandwidth</w:t>
            </w:r>
          </w:p>
        </w:tc>
        <w:tc>
          <w:tcPr>
            <w:tcW w:w="858" w:type="pct"/>
          </w:tcPr>
          <w:p>
            <w:pPr>
              <w:pStyle w:val="34"/>
              <w:overflowPunct w:val="0"/>
              <w:autoSpaceDE w:val="0"/>
              <w:autoSpaceDN w:val="0"/>
              <w:adjustRightInd w:val="0"/>
              <w:spacing w:after="180"/>
              <w:textAlignment w:val="baseline"/>
              <w:rPr>
                <w:rFonts w:eastAsia="Yu Mincho"/>
                <w:bCs/>
              </w:rPr>
            </w:pPr>
            <w:r>
              <w:rPr>
                <w:rFonts w:eastAsia="Yu Mincho"/>
                <w:bCs/>
              </w:rPr>
              <w:t>D</w:t>
            </w:r>
            <w:r>
              <w:rPr>
                <w:rFonts w:hint="eastAsia" w:eastAsia="Yu Mincho"/>
                <w:bCs/>
              </w:rPr>
              <w:t>uplex mode</w:t>
            </w:r>
          </w:p>
        </w:tc>
        <w:tc>
          <w:tcPr>
            <w:tcW w:w="1255" w:type="pct"/>
          </w:tcPr>
          <w:p>
            <w:pPr>
              <w:pStyle w:val="34"/>
              <w:overflowPunct w:val="0"/>
              <w:autoSpaceDE w:val="0"/>
              <w:autoSpaceDN w:val="0"/>
              <w:adjustRightInd w:val="0"/>
              <w:spacing w:after="180"/>
              <w:textAlignment w:val="baseline"/>
              <w:rPr>
                <w:rFonts w:eastAsia="Yu Mincho"/>
                <w:bCs/>
              </w:rPr>
            </w:pPr>
            <w:r>
              <w:rPr>
                <w:rFonts w:hint="eastAsia" w:eastAsia="Yu Mincho"/>
                <w:bCs/>
              </w:rPr>
              <w:t>Frequency reuse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tcPr>
          <w:p>
            <w:pPr>
              <w:pStyle w:val="35"/>
              <w:overflowPunct w:val="0"/>
              <w:autoSpaceDE w:val="0"/>
              <w:autoSpaceDN w:val="0"/>
              <w:adjustRightInd w:val="0"/>
              <w:spacing w:after="180"/>
              <w:textAlignment w:val="baseline"/>
              <w:rPr>
                <w:rFonts w:eastAsia="Yu Mincho"/>
              </w:rPr>
            </w:pPr>
            <w:r>
              <w:rPr>
                <w:rFonts w:eastAsia="Yu Mincho"/>
              </w:rPr>
              <w:t>TN Rural</w:t>
            </w:r>
          </w:p>
        </w:tc>
        <w:tc>
          <w:tcPr>
            <w:tcW w:w="702" w:type="pct"/>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4.9</w:t>
            </w:r>
            <w:r>
              <w:rPr>
                <w:rFonts w:hint="eastAsia" w:eastAsia="Yu Mincho"/>
              </w:rPr>
              <w:t xml:space="preserve"> GHz</w:t>
            </w:r>
          </w:p>
        </w:tc>
        <w:tc>
          <w:tcPr>
            <w:tcW w:w="1250" w:type="pct"/>
          </w:tcPr>
          <w:p>
            <w:pPr>
              <w:pStyle w:val="35"/>
              <w:overflowPunct w:val="0"/>
              <w:autoSpaceDE w:val="0"/>
              <w:autoSpaceDN w:val="0"/>
              <w:adjustRightInd w:val="0"/>
              <w:spacing w:after="180"/>
              <w:textAlignment w:val="baseline"/>
              <w:rPr>
                <w:rFonts w:hint="default" w:eastAsia="宋体"/>
                <w:color w:val="auto"/>
                <w:highlight w:val="none"/>
                <w:lang w:val="en-US" w:eastAsia="zh-CN"/>
              </w:rPr>
            </w:pPr>
            <w:r>
              <w:rPr>
                <w:rFonts w:hint="eastAsia" w:eastAsia="宋体"/>
                <w:color w:val="auto"/>
                <w:highlight w:val="none"/>
                <w:lang w:val="en-US" w:eastAsia="zh-CN"/>
              </w:rPr>
              <w:t>100MHz</w:t>
            </w:r>
          </w:p>
        </w:tc>
        <w:tc>
          <w:tcPr>
            <w:tcW w:w="858" w:type="pct"/>
          </w:tcPr>
          <w:p>
            <w:pPr>
              <w:pStyle w:val="35"/>
              <w:overflowPunct w:val="0"/>
              <w:autoSpaceDE w:val="0"/>
              <w:autoSpaceDN w:val="0"/>
              <w:adjustRightInd w:val="0"/>
              <w:spacing w:after="180"/>
              <w:textAlignment w:val="baseline"/>
              <w:rPr>
                <w:rFonts w:eastAsia="Yu Mincho"/>
              </w:rPr>
            </w:pPr>
            <w:r>
              <w:rPr>
                <w:rFonts w:hint="eastAsia" w:eastAsia="Yu Mincho"/>
              </w:rPr>
              <w:t>TDD</w:t>
            </w:r>
          </w:p>
        </w:tc>
        <w:tc>
          <w:tcPr>
            <w:tcW w:w="1255" w:type="pct"/>
          </w:tcPr>
          <w:p>
            <w:pPr>
              <w:pStyle w:val="35"/>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vAlign w:val="top"/>
          </w:tcPr>
          <w:p>
            <w:pPr>
              <w:pStyle w:val="35"/>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eastAsia="Yu Mincho"/>
              </w:rPr>
              <w:t>TN Rural</w:t>
            </w:r>
            <w:r>
              <w:rPr>
                <w:rFonts w:hint="eastAsia" w:eastAsia="宋体"/>
                <w:lang w:val="en-US" w:eastAsia="zh-CN"/>
              </w:rPr>
              <w:t xml:space="preserve"> </w:t>
            </w:r>
          </w:p>
        </w:tc>
        <w:tc>
          <w:tcPr>
            <w:tcW w:w="702" w:type="pct"/>
            <w:vAlign w:val="top"/>
          </w:tcPr>
          <w:p>
            <w:pPr>
              <w:pStyle w:val="35"/>
              <w:overflowPunct w:val="0"/>
              <w:autoSpaceDE w:val="0"/>
              <w:autoSpaceDN w:val="0"/>
              <w:adjustRightInd w:val="0"/>
              <w:spacing w:after="180"/>
              <w:textAlignment w:val="baseline"/>
              <w:rPr>
                <w:rFonts w:hint="eastAsia" w:ascii="Arial" w:hAnsi="Arial" w:eastAsia="宋体" w:cstheme="minorBidi"/>
                <w:kern w:val="2"/>
                <w:sz w:val="18"/>
                <w:szCs w:val="24"/>
                <w:lang w:val="en-US" w:eastAsia="zh-CN" w:bidi="ar-SA"/>
              </w:rPr>
            </w:pPr>
            <w:r>
              <w:rPr>
                <w:rFonts w:hint="eastAsia" w:eastAsia="宋体"/>
                <w:lang w:val="en-US" w:eastAsia="zh-CN"/>
              </w:rPr>
              <w:t>3.5</w:t>
            </w:r>
            <w:r>
              <w:rPr>
                <w:rFonts w:hint="eastAsia" w:eastAsia="Yu Mincho"/>
              </w:rPr>
              <w:t xml:space="preserve"> GHz</w:t>
            </w:r>
          </w:p>
        </w:tc>
        <w:tc>
          <w:tcPr>
            <w:tcW w:w="1250"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highlight w:val="none"/>
                <w:lang w:val="en-US" w:eastAsia="zh-CN" w:bidi="ar-SA"/>
              </w:rPr>
            </w:pPr>
            <w:r>
              <w:rPr>
                <w:rFonts w:hint="eastAsia" w:eastAsia="宋体"/>
                <w:color w:val="auto"/>
                <w:highlight w:val="none"/>
                <w:lang w:val="en-US" w:eastAsia="zh-CN"/>
              </w:rPr>
              <w:t xml:space="preserve">100 MHz </w:t>
            </w:r>
          </w:p>
        </w:tc>
        <w:tc>
          <w:tcPr>
            <w:tcW w:w="858" w:type="pct"/>
            <w:vAlign w:val="top"/>
          </w:tcPr>
          <w:p>
            <w:pPr>
              <w:pStyle w:val="35"/>
              <w:overflowPunct w:val="0"/>
              <w:autoSpaceDE w:val="0"/>
              <w:autoSpaceDN w:val="0"/>
              <w:adjustRightInd w:val="0"/>
              <w:spacing w:after="180"/>
              <w:textAlignment w:val="baseline"/>
              <w:rPr>
                <w:rFonts w:hint="eastAsia" w:ascii="Arial" w:hAnsi="Arial" w:eastAsia="Yu Mincho" w:cstheme="minorBidi"/>
                <w:kern w:val="2"/>
                <w:sz w:val="18"/>
                <w:szCs w:val="24"/>
                <w:lang w:val="en-US" w:eastAsia="zh-CN" w:bidi="ar-SA"/>
              </w:rPr>
            </w:pPr>
            <w:r>
              <w:rPr>
                <w:rFonts w:hint="eastAsia" w:eastAsia="Yu Mincho"/>
              </w:rPr>
              <w:t>TDD</w:t>
            </w:r>
          </w:p>
        </w:tc>
        <w:tc>
          <w:tcPr>
            <w:tcW w:w="1255" w:type="pct"/>
            <w:vAlign w:val="top"/>
          </w:tcPr>
          <w:p>
            <w:pPr>
              <w:pStyle w:val="35"/>
              <w:overflowPunct w:val="0"/>
              <w:autoSpaceDE w:val="0"/>
              <w:autoSpaceDN w:val="0"/>
              <w:adjustRightInd w:val="0"/>
              <w:spacing w:after="180"/>
              <w:textAlignment w:val="baseline"/>
              <w:rPr>
                <w:rFonts w:hint="eastAsia" w:ascii="Arial" w:hAnsi="Arial" w:eastAsia="Yu Mincho" w:cstheme="minorBidi"/>
                <w:kern w:val="2"/>
                <w:sz w:val="18"/>
                <w:szCs w:val="24"/>
                <w:lang w:val="en-US" w:eastAsia="zh-CN" w:bidi="ar-SA"/>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pct"/>
            <w:vAlign w:val="top"/>
          </w:tcPr>
          <w:p>
            <w:pPr>
              <w:pStyle w:val="35"/>
              <w:overflowPunct w:val="0"/>
              <w:autoSpaceDE w:val="0"/>
              <w:autoSpaceDN w:val="0"/>
              <w:adjustRightInd w:val="0"/>
              <w:spacing w:after="180"/>
              <w:textAlignment w:val="baseline"/>
              <w:rPr>
                <w:rFonts w:hint="eastAsia" w:eastAsia="宋体"/>
                <w:lang w:val="en-US" w:eastAsia="zh-CN"/>
              </w:rPr>
            </w:pPr>
            <w:r>
              <w:rPr>
                <w:rFonts w:eastAsia="Yu Mincho"/>
              </w:rPr>
              <w:t>TN Rural</w:t>
            </w:r>
            <w:r>
              <w:rPr>
                <w:rFonts w:hint="eastAsia" w:eastAsia="宋体"/>
                <w:lang w:val="en-US" w:eastAsia="zh-CN"/>
              </w:rPr>
              <w:t xml:space="preserve"> </w:t>
            </w:r>
          </w:p>
        </w:tc>
        <w:tc>
          <w:tcPr>
            <w:tcW w:w="702" w:type="pct"/>
            <w:vAlign w:val="top"/>
          </w:tcPr>
          <w:p>
            <w:pPr>
              <w:pStyle w:val="35"/>
              <w:overflowPunct w:val="0"/>
              <w:autoSpaceDE w:val="0"/>
              <w:autoSpaceDN w:val="0"/>
              <w:adjustRightInd w:val="0"/>
              <w:spacing w:after="180"/>
              <w:textAlignment w:val="baseline"/>
              <w:rPr>
                <w:rFonts w:eastAsia="Yu Mincho"/>
              </w:rPr>
            </w:pPr>
            <w:r>
              <w:rPr>
                <w:rFonts w:hint="eastAsia" w:eastAsia="宋体"/>
                <w:lang w:val="en-US" w:eastAsia="zh-CN"/>
              </w:rPr>
              <w:t>2.1GHz</w:t>
            </w:r>
          </w:p>
        </w:tc>
        <w:tc>
          <w:tcPr>
            <w:tcW w:w="1250" w:type="pct"/>
            <w:vAlign w:val="top"/>
          </w:tcPr>
          <w:p>
            <w:pPr>
              <w:pStyle w:val="35"/>
              <w:overflowPunct w:val="0"/>
              <w:autoSpaceDE w:val="0"/>
              <w:autoSpaceDN w:val="0"/>
              <w:adjustRightInd w:val="0"/>
              <w:spacing w:after="180"/>
              <w:ind w:firstLine="720" w:firstLineChars="400"/>
              <w:jc w:val="both"/>
              <w:textAlignment w:val="baseline"/>
              <w:rPr>
                <w:rFonts w:hint="default" w:eastAsia="宋体"/>
                <w:highlight w:val="none"/>
                <w:lang w:val="en-US" w:eastAsia="zh-CN"/>
              </w:rPr>
            </w:pPr>
            <w:r>
              <w:rPr>
                <w:rFonts w:hint="eastAsia" w:eastAsia="宋体"/>
                <w:highlight w:val="none"/>
                <w:lang w:val="en-US" w:eastAsia="zh-CN"/>
              </w:rPr>
              <w:t xml:space="preserve">20 MHz </w:t>
            </w:r>
          </w:p>
        </w:tc>
        <w:tc>
          <w:tcPr>
            <w:tcW w:w="858" w:type="pct"/>
            <w:vAlign w:val="top"/>
          </w:tcPr>
          <w:p>
            <w:pPr>
              <w:pStyle w:val="35"/>
              <w:overflowPunct w:val="0"/>
              <w:autoSpaceDE w:val="0"/>
              <w:autoSpaceDN w:val="0"/>
              <w:adjustRightInd w:val="0"/>
              <w:spacing w:after="180"/>
              <w:textAlignment w:val="baseline"/>
              <w:rPr>
                <w:rFonts w:eastAsia="Yu Mincho"/>
              </w:rPr>
            </w:pPr>
            <w:r>
              <w:rPr>
                <w:rFonts w:hint="eastAsia" w:eastAsia="宋体"/>
                <w:lang w:val="en-US" w:eastAsia="zh-CN"/>
              </w:rPr>
              <w:t>F</w:t>
            </w:r>
            <w:r>
              <w:rPr>
                <w:rFonts w:hint="eastAsia" w:eastAsia="Yu Mincho"/>
              </w:rPr>
              <w:t>DD</w:t>
            </w:r>
          </w:p>
        </w:tc>
        <w:tc>
          <w:tcPr>
            <w:tcW w:w="1255" w:type="pct"/>
            <w:vAlign w:val="top"/>
          </w:tcPr>
          <w:p>
            <w:pPr>
              <w:pStyle w:val="35"/>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top"/>
          </w:tcPr>
          <w:p>
            <w:pPr>
              <w:pStyle w:val="35"/>
              <w:overflowPunct w:val="0"/>
              <w:autoSpaceDE w:val="0"/>
              <w:autoSpaceDN w:val="0"/>
              <w:adjustRightInd w:val="0"/>
              <w:spacing w:after="180"/>
              <w:jc w:val="both"/>
              <w:textAlignment w:val="baseline"/>
              <w:rPr>
                <w:rFonts w:hint="default" w:eastAsia="宋体"/>
                <w:lang w:val="en-US" w:eastAsia="zh-CN"/>
              </w:rPr>
            </w:pPr>
            <w:r>
              <w:rPr>
                <w:rFonts w:hint="eastAsia" w:eastAsia="宋体"/>
                <w:lang w:val="en-US" w:eastAsia="zh-CN"/>
              </w:rPr>
              <w:t xml:space="preserve">NOTE 1: Since aircraft route is mostly in the rural scenarios, therefore we propose to focus on the rural scenario for ATG coexistence study. </w:t>
            </w:r>
          </w:p>
        </w:tc>
      </w:tr>
    </w:tbl>
    <w:p>
      <w:pPr>
        <w:jc w:val="center"/>
        <w:rPr>
          <w:rFonts w:hint="default"/>
          <w:b/>
          <w:bCs/>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xml:space="preserve">: to consider the coexistence scenario in Table 2.1-1 and proposed frequency and bandwidth configuration in Table 2.1-2 for ATG coexistence study.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System parameters</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6" w:name="_Toc94170344"/>
      <w:bookmarkStart w:id="7" w:name="_Toc104122348"/>
      <w:bookmarkStart w:id="8" w:name="_Toc87889243"/>
      <w:bookmarkStart w:id="9" w:name="_Toc104210154"/>
      <w:bookmarkStart w:id="10" w:name="_Toc104502866"/>
      <w:r>
        <w:rPr>
          <w:rFonts w:cs="Arial"/>
          <w:b w:val="0"/>
          <w:bCs w:val="0"/>
        </w:rPr>
        <w:t>2.2.1</w:t>
      </w:r>
      <w:r>
        <w:rPr>
          <w:rFonts w:cs="Arial"/>
          <w:b w:val="0"/>
          <w:bCs w:val="0"/>
        </w:rPr>
        <w:tab/>
      </w:r>
      <w:r>
        <w:rPr>
          <w:rFonts w:hint="eastAsia" w:cs="Arial"/>
          <w:b w:val="0"/>
          <w:bCs w:val="0"/>
          <w:lang w:val="en-US" w:eastAsia="zh-CN"/>
        </w:rPr>
        <w:t xml:space="preserve">ATG </w:t>
      </w:r>
      <w:r>
        <w:rPr>
          <w:rFonts w:cs="Arial"/>
          <w:b w:val="0"/>
          <w:bCs w:val="0"/>
        </w:rPr>
        <w:t>parameters</w:t>
      </w:r>
      <w:bookmarkEnd w:id="6"/>
      <w:bookmarkEnd w:id="7"/>
      <w:bookmarkEnd w:id="8"/>
      <w:bookmarkEnd w:id="9"/>
      <w:bookmarkEnd w:id="10"/>
    </w:p>
    <w:p>
      <w:pPr>
        <w:spacing w:after="120"/>
        <w:rPr>
          <w:rFonts w:hint="default" w:eastAsia="宋体"/>
          <w:lang w:val="en-US" w:eastAsia="zh-CN"/>
        </w:rPr>
      </w:pPr>
      <w:r>
        <w:rPr>
          <w:rFonts w:hint="eastAsia" w:eastAsia="宋体"/>
          <w:lang w:val="en-US" w:eastAsia="zh-CN"/>
        </w:rPr>
        <w:t>The general</w:t>
      </w:r>
      <w:r>
        <w:rPr>
          <w:rFonts w:eastAsia="宋体"/>
        </w:rPr>
        <w:t xml:space="preserve"> parameters</w:t>
      </w:r>
      <w:r>
        <w:rPr>
          <w:rFonts w:hint="eastAsia" w:eastAsia="宋体"/>
          <w:lang w:val="en-US" w:eastAsia="zh-CN"/>
        </w:rPr>
        <w:t xml:space="preserve"> for ATG network coexistence study</w:t>
      </w:r>
      <w:r>
        <w:rPr>
          <w:rFonts w:eastAsia="宋体"/>
        </w:rPr>
        <w:t xml:space="preserve"> are </w:t>
      </w:r>
      <w:r>
        <w:rPr>
          <w:rFonts w:hint="eastAsia" w:eastAsia="宋体"/>
          <w:lang w:val="en-US" w:eastAsia="zh-CN"/>
        </w:rPr>
        <w:t>listed in the following Table 2.2.1-1.</w:t>
      </w:r>
    </w:p>
    <w:p>
      <w:pPr>
        <w:autoSpaceDE/>
        <w:autoSpaceDN/>
        <w:adjustRightInd/>
        <w:snapToGrid/>
        <w:spacing w:before="0" w:beforeLines="-2147483648" w:after="0" w:afterLines="-2147483648" w:line="240" w:lineRule="auto"/>
        <w:jc w:val="center"/>
        <w:rPr>
          <w:rFonts w:hint="default"/>
          <w:b/>
          <w:bCs/>
          <w:sz w:val="20"/>
          <w:lang w:val="en-US" w:eastAsia="zh-CN"/>
        </w:rPr>
      </w:pPr>
      <w:bookmarkStart w:id="11" w:name="_Toc87889244"/>
      <w:r>
        <w:rPr>
          <w:rFonts w:hint="eastAsia"/>
          <w:b/>
          <w:bCs/>
          <w:sz w:val="20"/>
          <w:lang w:val="zh-CN" w:eastAsia="zh-CN"/>
        </w:rPr>
        <w:t xml:space="preserve">Table </w:t>
      </w:r>
      <w:r>
        <w:rPr>
          <w:rFonts w:hint="eastAsia"/>
          <w:b/>
          <w:bCs/>
          <w:sz w:val="20"/>
          <w:lang w:val="en-US" w:eastAsia="zh-CN"/>
        </w:rPr>
        <w:t>2.2.1</w:t>
      </w:r>
      <w:r>
        <w:rPr>
          <w:rFonts w:hint="eastAsia"/>
          <w:b/>
          <w:bCs/>
          <w:sz w:val="20"/>
          <w:lang w:val="zh-CN" w:eastAsia="zh-CN"/>
        </w:rPr>
        <w:t xml:space="preserve">-1: </w:t>
      </w:r>
      <w:r>
        <w:rPr>
          <w:rFonts w:hint="eastAsia"/>
          <w:b/>
          <w:bCs/>
          <w:sz w:val="20"/>
          <w:lang w:val="en-US" w:eastAsia="zh-CN"/>
        </w:rPr>
        <w:t xml:space="preserve">the general </w:t>
      </w:r>
      <w:r>
        <w:rPr>
          <w:rFonts w:hint="eastAsia"/>
          <w:b/>
          <w:bCs/>
          <w:sz w:val="20"/>
          <w:lang w:val="zh-CN" w:eastAsia="zh-CN"/>
        </w:rPr>
        <w:t>system parameters</w:t>
      </w:r>
      <w:r>
        <w:rPr>
          <w:rFonts w:hint="eastAsia"/>
          <w:b/>
          <w:bCs/>
          <w:sz w:val="20"/>
          <w:lang w:val="en-US" w:eastAsia="zh-CN"/>
        </w:rPr>
        <w:t xml:space="preserve"> for ATG network</w:t>
      </w:r>
    </w:p>
    <w:tbl>
      <w:tblPr>
        <w:tblStyle w:val="2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2225"/>
        <w:gridCol w:w="2225"/>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rPr>
            </w:pPr>
            <w:r>
              <w:rPr>
                <w:rFonts w:hint="eastAsia"/>
                <w:color w:val="auto"/>
                <w:lang w:val="en-US" w:eastAsia="zh-CN"/>
              </w:rPr>
              <w:t>ATG CPE</w:t>
            </w:r>
            <w:r>
              <w:rPr>
                <w:color w:val="auto"/>
              </w:rPr>
              <w:t xml:space="preserve"> altitude </w:t>
            </w: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 xml:space="preserve">7km, 12 Km </w:t>
            </w:r>
          </w:p>
          <w:p>
            <w:pPr>
              <w:pStyle w:val="35"/>
              <w:spacing w:after="20"/>
              <w:jc w:val="left"/>
              <w:rPr>
                <w:rFonts w:hint="default"/>
                <w:color w:val="auto"/>
                <w:lang w:val="en-US" w:eastAsia="zh-CN"/>
              </w:rPr>
            </w:pP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7km, 12 Km .</w:t>
            </w:r>
          </w:p>
          <w:p>
            <w:pPr>
              <w:pStyle w:val="35"/>
              <w:spacing w:after="20"/>
              <w:jc w:val="left"/>
              <w:rPr>
                <w:rFonts w:ascii="Arial" w:hAnsi="Arial" w:eastAsiaTheme="minorEastAsia" w:cstheme="minorBidi"/>
                <w:color w:val="auto"/>
                <w:kern w:val="2"/>
                <w:sz w:val="18"/>
                <w:szCs w:val="24"/>
                <w:lang w:val="en-US" w:eastAsia="zh-CN" w:bidi="ar-SA"/>
              </w:rPr>
            </w:pP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7km, 12 Km</w:t>
            </w:r>
          </w:p>
          <w:p>
            <w:pPr>
              <w:pStyle w:val="35"/>
              <w:spacing w:after="20"/>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 xml:space="preserve">Carrier frequency </w:t>
            </w:r>
          </w:p>
        </w:tc>
        <w:tc>
          <w:tcPr>
            <w:tcW w:w="2225" w:type="dxa"/>
            <w:tcMar>
              <w:top w:w="28" w:type="dxa"/>
              <w:bottom w:w="28" w:type="dxa"/>
            </w:tcMar>
            <w:vAlign w:val="center"/>
          </w:tcPr>
          <w:p>
            <w:pPr>
              <w:pStyle w:val="35"/>
              <w:spacing w:after="20"/>
              <w:jc w:val="left"/>
            </w:pPr>
            <w:r>
              <w:rPr>
                <w:rFonts w:hint="eastAsia"/>
                <w:lang w:val="en-US" w:eastAsia="zh-CN"/>
              </w:rPr>
              <w:t>4.9</w:t>
            </w:r>
            <w:r>
              <w:t xml:space="preserve"> GHz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3.5</w:t>
            </w:r>
            <w:r>
              <w:t xml:space="preserve"> GHz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Frequency reuse factor</w:t>
            </w:r>
          </w:p>
        </w:tc>
        <w:tc>
          <w:tcPr>
            <w:tcW w:w="2225" w:type="dxa"/>
            <w:tcMar>
              <w:top w:w="28" w:type="dxa"/>
              <w:bottom w:w="28" w:type="dxa"/>
            </w:tcMar>
            <w:vAlign w:val="center"/>
          </w:tcPr>
          <w:p>
            <w:pPr>
              <w:pStyle w:val="35"/>
              <w:spacing w:after="20"/>
              <w:jc w:val="left"/>
            </w:pPr>
            <w:r>
              <w:t>1</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Duplex scheme</w:t>
            </w:r>
          </w:p>
        </w:tc>
        <w:tc>
          <w:tcPr>
            <w:tcW w:w="2225" w:type="dxa"/>
            <w:tcMar>
              <w:top w:w="28" w:type="dxa"/>
              <w:bottom w:w="28" w:type="dxa"/>
            </w:tcMar>
            <w:vAlign w:val="center"/>
          </w:tcPr>
          <w:p>
            <w:pPr>
              <w:pStyle w:val="35"/>
              <w:spacing w:after="20"/>
              <w:jc w:val="left"/>
            </w:pPr>
            <w:r>
              <w:rPr>
                <w:rFonts w:hint="eastAsia"/>
                <w:lang w:val="en-US" w:eastAsia="zh-CN"/>
              </w:rPr>
              <w:t>T</w:t>
            </w:r>
            <w:r>
              <w:t>DD</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T</w:t>
            </w:r>
            <w:r>
              <w:t>DD</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Channel bandwidth</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100MHz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Subcarrier spacing (SCS)</w:t>
            </w:r>
          </w:p>
        </w:tc>
        <w:tc>
          <w:tcPr>
            <w:tcW w:w="2225" w:type="dxa"/>
            <w:tcMar>
              <w:top w:w="28" w:type="dxa"/>
              <w:bottom w:w="28" w:type="dxa"/>
            </w:tcMar>
            <w:vAlign w:val="center"/>
          </w:tcPr>
          <w:p>
            <w:pPr>
              <w:pStyle w:val="35"/>
              <w:spacing w:after="20"/>
              <w:jc w:val="left"/>
            </w:pPr>
            <w:r>
              <w:rPr>
                <w:rFonts w:hint="eastAsia"/>
                <w:lang w:val="en-US" w:eastAsia="zh-CN"/>
              </w:rPr>
              <w:t>30</w:t>
            </w:r>
            <w:r>
              <w:t xml:space="preserve"> KHz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30</w:t>
            </w:r>
            <w:r>
              <w:t xml:space="preserve"> KHz</w:t>
            </w:r>
          </w:p>
        </w:tc>
        <w:tc>
          <w:tcPr>
            <w:tcW w:w="2225" w:type="dxa"/>
            <w:tcMar>
              <w:top w:w="28" w:type="dxa"/>
              <w:bottom w:w="28" w:type="dxa"/>
            </w:tcMar>
            <w:vAlign w:val="center"/>
          </w:tcPr>
          <w:p>
            <w:pPr>
              <w:pStyle w:val="35"/>
              <w:spacing w:after="20"/>
              <w:jc w:val="left"/>
              <w:rPr>
                <w:rFonts w:hint="eastAsia"/>
                <w:lang w:val="en-US" w:eastAsia="zh-CN"/>
              </w:rPr>
            </w:pPr>
            <w:r>
              <w:rPr>
                <w:rFonts w:hint="eastAsia"/>
                <w:lang w:val="en-US" w:eastAsia="zh-CN"/>
              </w:rPr>
              <w:t>15</w:t>
            </w:r>
            <w: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cells</w:t>
            </w:r>
          </w:p>
        </w:tc>
        <w:tc>
          <w:tcPr>
            <w:tcW w:w="2225" w:type="dxa"/>
            <w:tcMar>
              <w:top w:w="28" w:type="dxa"/>
              <w:bottom w:w="28" w:type="dxa"/>
            </w:tcMar>
            <w:vAlign w:val="center"/>
          </w:tcPr>
          <w:p>
            <w:pPr>
              <w:pStyle w:val="35"/>
              <w:spacing w:after="20"/>
              <w:jc w:val="left"/>
              <w:rPr>
                <w:rFonts w:hint="eastAsia" w:eastAsiaTheme="minorEastAsia"/>
                <w:lang w:eastAsia="zh-CN"/>
              </w:rPr>
            </w:pPr>
            <w:r>
              <w:rPr>
                <w:rFonts w:hint="eastAsia"/>
                <w:lang w:val="en-US" w:eastAsia="zh-CN"/>
              </w:rPr>
              <w:t>1</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1</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strike w:val="0"/>
                <w:dstrike w:val="0"/>
              </w:rPr>
            </w:pPr>
            <w:r>
              <w:rPr>
                <w:strike w:val="0"/>
                <w:dstrike w:val="0"/>
              </w:rPr>
              <w:t xml:space="preserve">Frequency reuse </w:t>
            </w:r>
          </w:p>
        </w:tc>
        <w:tc>
          <w:tcPr>
            <w:tcW w:w="2225" w:type="dxa"/>
            <w:tcMar>
              <w:top w:w="28" w:type="dxa"/>
              <w:bottom w:w="28" w:type="dxa"/>
            </w:tcMar>
            <w:vAlign w:val="center"/>
          </w:tcPr>
          <w:p>
            <w:pPr>
              <w:pStyle w:val="35"/>
              <w:spacing w:after="20"/>
              <w:jc w:val="left"/>
              <w:rPr>
                <w:strike w:val="0"/>
                <w:dstrike w:val="0"/>
              </w:rPr>
            </w:pPr>
            <w:r>
              <w:rPr>
                <w:strike w:val="0"/>
                <w:dstrike w:val="0"/>
              </w:rPr>
              <w:t>1</w:t>
            </w:r>
          </w:p>
        </w:tc>
        <w:tc>
          <w:tcPr>
            <w:tcW w:w="2225" w:type="dxa"/>
            <w:tcMar>
              <w:top w:w="28" w:type="dxa"/>
              <w:bottom w:w="28" w:type="dxa"/>
            </w:tcMar>
            <w:vAlign w:val="center"/>
          </w:tcPr>
          <w:p>
            <w:pPr>
              <w:pStyle w:val="35"/>
              <w:spacing w:after="20"/>
              <w:jc w:val="left"/>
              <w:rPr>
                <w:rFonts w:ascii="Arial" w:hAnsi="Arial" w:eastAsiaTheme="minorEastAsia" w:cstheme="minorBidi"/>
                <w:strike w:val="0"/>
                <w:dstrike w:val="0"/>
                <w:kern w:val="2"/>
                <w:sz w:val="18"/>
                <w:szCs w:val="24"/>
                <w:lang w:val="en-US" w:eastAsia="zh-CN" w:bidi="ar-SA"/>
              </w:rPr>
            </w:pPr>
            <w:r>
              <w:rPr>
                <w:strike w:val="0"/>
                <w:dstrike w:val="0"/>
              </w:rPr>
              <w:t>1</w:t>
            </w:r>
          </w:p>
        </w:tc>
        <w:tc>
          <w:tcPr>
            <w:tcW w:w="2225" w:type="dxa"/>
            <w:tcMar>
              <w:top w:w="28" w:type="dxa"/>
              <w:bottom w:w="28" w:type="dxa"/>
            </w:tcMar>
            <w:vAlign w:val="center"/>
          </w:tcPr>
          <w:p>
            <w:pPr>
              <w:pStyle w:val="35"/>
              <w:spacing w:after="20"/>
              <w:jc w:val="left"/>
              <w:rPr>
                <w:rFonts w:hint="eastAsia" w:eastAsiaTheme="minorEastAsia"/>
                <w:strike w:val="0"/>
                <w:dstrike w:val="0"/>
                <w:lang w:val="en-US" w:eastAsia="zh-CN"/>
              </w:rPr>
            </w:pPr>
            <w:r>
              <w:rPr>
                <w:rFonts w:hint="eastAsia"/>
                <w:strike w:val="0"/>
                <w:dstrike w:val="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Environment</w:t>
            </w:r>
            <w:r>
              <w:rPr>
                <w:vertAlign w:val="superscript"/>
              </w:rPr>
              <w:t>1</w:t>
            </w:r>
          </w:p>
        </w:tc>
        <w:tc>
          <w:tcPr>
            <w:tcW w:w="2225" w:type="dxa"/>
            <w:tcMar>
              <w:top w:w="28" w:type="dxa"/>
              <w:bottom w:w="28" w:type="dxa"/>
            </w:tcMar>
            <w:vAlign w:val="center"/>
          </w:tcPr>
          <w:p>
            <w:pPr>
              <w:pStyle w:val="35"/>
              <w:spacing w:after="20"/>
              <w:jc w:val="left"/>
            </w:pPr>
            <w:r>
              <w:t>Rural</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Rural</w:t>
            </w:r>
          </w:p>
        </w:tc>
        <w:tc>
          <w:tcPr>
            <w:tcW w:w="2225" w:type="dxa"/>
            <w:tcMar>
              <w:top w:w="28" w:type="dxa"/>
              <w:bottom w:w="28" w:type="dxa"/>
            </w:tcMar>
            <w:vAlign w:val="center"/>
          </w:tcPr>
          <w:p>
            <w:pPr>
              <w:pStyle w:val="35"/>
              <w:spacing w:after="20"/>
              <w:jc w:val="left"/>
            </w:pPr>
            <w: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UE distribution</w:t>
            </w:r>
          </w:p>
        </w:tc>
        <w:tc>
          <w:tcPr>
            <w:tcW w:w="2225" w:type="dxa"/>
            <w:tcMar>
              <w:top w:w="28" w:type="dxa"/>
              <w:bottom w:w="28" w:type="dxa"/>
            </w:tcMar>
            <w:vAlign w:val="center"/>
          </w:tcPr>
          <w:p>
            <w:pPr>
              <w:pStyle w:val="35"/>
              <w:spacing w:after="20"/>
              <w:jc w:val="left"/>
              <w:rPr>
                <w:rFonts w:hint="default" w:eastAsiaTheme="minorEastAsia"/>
                <w:lang w:val="en-US" w:eastAsia="zh-CN"/>
              </w:rPr>
            </w:pPr>
            <w:r>
              <w:rPr>
                <w:rFonts w:hint="eastAsia"/>
                <w:lang w:val="en-US" w:eastAsia="zh-CN"/>
              </w:rPr>
              <w:t>Single UE per ATG cell</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Single UE per ATG cell</w:t>
            </w:r>
          </w:p>
        </w:tc>
        <w:tc>
          <w:tcPr>
            <w:tcW w:w="2225" w:type="dxa"/>
            <w:tcMar>
              <w:top w:w="28" w:type="dxa"/>
              <w:bottom w:w="28" w:type="dxa"/>
            </w:tcMar>
            <w:vAlign w:val="center"/>
          </w:tcPr>
          <w:p>
            <w:pPr>
              <w:pStyle w:val="35"/>
              <w:spacing w:after="20"/>
              <w:jc w:val="left"/>
            </w:pPr>
            <w:r>
              <w:rPr>
                <w:rFonts w:hint="eastAsia"/>
                <w:lang w:val="en-US" w:eastAsia="zh-CN"/>
              </w:rPr>
              <w:t>Single UE per ATG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Indoor UE percentage</w:t>
            </w:r>
          </w:p>
        </w:tc>
        <w:tc>
          <w:tcPr>
            <w:tcW w:w="2225" w:type="dxa"/>
            <w:tcMar>
              <w:top w:w="28" w:type="dxa"/>
              <w:bottom w:w="28" w:type="dxa"/>
            </w:tcMar>
            <w:vAlign w:val="center"/>
          </w:tcPr>
          <w:p>
            <w:pPr>
              <w:pStyle w:val="35"/>
              <w:spacing w:after="20"/>
              <w:jc w:val="left"/>
            </w:pPr>
            <w:r>
              <w:t>0%</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0%</w:t>
            </w:r>
          </w:p>
        </w:tc>
        <w:tc>
          <w:tcPr>
            <w:tcW w:w="2225" w:type="dxa"/>
            <w:tcMar>
              <w:top w:w="28" w:type="dxa"/>
              <w:bottom w:w="28" w:type="dxa"/>
            </w:tcMar>
            <w:vAlign w:val="center"/>
          </w:tcPr>
          <w:p>
            <w:pPr>
              <w:pStyle w:val="35"/>
              <w:spacing w:after="20"/>
              <w:jc w:val="left"/>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DL scheduled UEs per cell</w:t>
            </w:r>
          </w:p>
        </w:tc>
        <w:tc>
          <w:tcPr>
            <w:tcW w:w="2225" w:type="dxa"/>
            <w:tcMar>
              <w:top w:w="28" w:type="dxa"/>
              <w:bottom w:w="28" w:type="dxa"/>
            </w:tcMar>
            <w:vAlign w:val="center"/>
          </w:tcPr>
          <w:p>
            <w:pPr>
              <w:pStyle w:val="35"/>
              <w:spacing w:after="20"/>
              <w:jc w:val="left"/>
            </w:pPr>
            <w:r>
              <w:t>1</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UL scheduled UEs per cell</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c>
          <w:tcPr>
            <w:tcW w:w="2225" w:type="dxa"/>
            <w:tcMar>
              <w:top w:w="28" w:type="dxa"/>
              <w:bottom w:w="28" w:type="dxa"/>
            </w:tcMar>
            <w:vAlign w:val="center"/>
          </w:tcPr>
          <w:p>
            <w:pPr>
              <w:pStyle w:val="35"/>
              <w:spacing w:after="20"/>
              <w:jc w:val="left"/>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DL scheduled bandwidth per UE</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UL scheduled bandwidth per UE</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eastAsia"/>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DL power control</w:t>
            </w:r>
          </w:p>
        </w:tc>
        <w:tc>
          <w:tcPr>
            <w:tcW w:w="2225" w:type="dxa"/>
            <w:tcMar>
              <w:top w:w="28" w:type="dxa"/>
              <w:bottom w:w="28" w:type="dxa"/>
            </w:tcMar>
            <w:vAlign w:val="center"/>
          </w:tcPr>
          <w:p>
            <w:pPr>
              <w:pStyle w:val="35"/>
              <w:spacing w:after="20"/>
              <w:jc w:val="left"/>
            </w:pPr>
            <w:r>
              <w:t>No</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No</w:t>
            </w:r>
          </w:p>
        </w:tc>
        <w:tc>
          <w:tcPr>
            <w:tcW w:w="2225" w:type="dxa"/>
            <w:tcMar>
              <w:top w:w="28" w:type="dxa"/>
              <w:bottom w:w="28" w:type="dxa"/>
            </w:tcMar>
            <w:vAlign w:val="center"/>
          </w:tcPr>
          <w:p>
            <w:pPr>
              <w:pStyle w:val="35"/>
              <w:spacing w:after="20"/>
              <w:jc w:val="left"/>
              <w:rPr>
                <w:rFonts w:hint="default" w:eastAsiaTheme="minorEastAsia"/>
                <w:lang w:val="en-US" w:eastAsia="zh-CN"/>
              </w:rPr>
            </w:pPr>
            <w:r>
              <w:rPr>
                <w:rFonts w:hint="eastAsia"/>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color w:val="auto"/>
                <w:highlight w:val="none"/>
              </w:rPr>
              <w:t>UL power control</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2.6.</w:t>
            </w:r>
            <w:r>
              <w:rPr>
                <w:rFonts w:hint="eastAsia" w:eastAsia="宋体"/>
                <w:color w:val="auto"/>
                <w:highlight w:val="none"/>
                <w:lang w:val="en-US" w:eastAsia="zh-CN"/>
              </w:rPr>
              <w:t>2</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2.6.</w:t>
            </w:r>
            <w:r>
              <w:rPr>
                <w:rFonts w:hint="eastAsia" w:eastAsia="宋体"/>
                <w:color w:val="auto"/>
                <w:highlight w:val="none"/>
                <w:lang w:val="en-US" w:eastAsia="zh-CN"/>
              </w:rPr>
              <w:t>2</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2.6.</w:t>
            </w:r>
            <w:r>
              <w:rPr>
                <w:rFonts w:hint="eastAsia" w:eastAsia="宋体"/>
                <w:color w:val="auto"/>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ATG BS</w:t>
            </w:r>
            <w:r>
              <w:rPr>
                <w:color w:val="auto"/>
                <w:highlight w:val="none"/>
              </w:rPr>
              <w:t xml:space="preserve"> antenna</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2.3.</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2.3.</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2.3.</w:t>
            </w:r>
            <w:r>
              <w:rPr>
                <w:rFonts w:hint="eastAsia" w:eastAsia="宋体"/>
                <w:color w:val="auto"/>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rPr>
                <w:rFonts w:hint="eastAsia"/>
                <w:lang w:val="en-US" w:eastAsia="zh-CN"/>
              </w:rPr>
              <w:t>ATG BS</w:t>
            </w:r>
            <w:r>
              <w:t xml:space="preserve"> noise figure</w:t>
            </w:r>
          </w:p>
        </w:tc>
        <w:tc>
          <w:tcPr>
            <w:tcW w:w="2225" w:type="dxa"/>
            <w:tcMar>
              <w:top w:w="28" w:type="dxa"/>
              <w:bottom w:w="28" w:type="dxa"/>
            </w:tcMar>
            <w:vAlign w:val="center"/>
          </w:tcPr>
          <w:p>
            <w:pPr>
              <w:pStyle w:val="35"/>
              <w:spacing w:after="20"/>
              <w:jc w:val="left"/>
            </w:pPr>
            <w:r>
              <w:t>5 dB</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5 dB</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 xml:space="preserve">ATG BS to </w:t>
            </w:r>
            <w:r>
              <w:rPr>
                <w:color w:val="auto"/>
                <w:highlight w:val="none"/>
              </w:rPr>
              <w:t>UE pathloss model</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2.5.</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2.5.</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2.5.</w:t>
            </w:r>
            <w:r>
              <w:rPr>
                <w:rFonts w:hint="eastAsia" w:eastAsia="宋体"/>
                <w:color w:val="auto"/>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ATG</w:t>
            </w:r>
            <w:r>
              <w:rPr>
                <w:color w:val="auto"/>
                <w:highlight w:val="none"/>
              </w:rPr>
              <w:t xml:space="preserve"> UE assumption</w:t>
            </w:r>
          </w:p>
        </w:tc>
        <w:tc>
          <w:tcPr>
            <w:tcW w:w="222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c>
          <w:tcPr>
            <w:tcW w:w="222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0" w:type="dxa"/>
            <w:gridSpan w:val="4"/>
            <w:tcMar>
              <w:top w:w="28" w:type="dxa"/>
              <w:bottom w:w="28" w:type="dxa"/>
            </w:tcMar>
            <w:vAlign w:val="center"/>
          </w:tcPr>
          <w:p>
            <w:pPr>
              <w:pStyle w:val="47"/>
              <w:rPr>
                <w:rFonts w:hint="eastAsia" w:eastAsiaTheme="minorEastAsia"/>
                <w:lang w:val="en-US" w:eastAsia="zh-CN"/>
              </w:rPr>
            </w:pPr>
            <w:r>
              <w:t>NOTE 1:</w:t>
            </w:r>
            <w:r>
              <w:rPr>
                <w:rFonts w:eastAsia="等线"/>
                <w:lang w:eastAsia="zh-CN"/>
              </w:rPr>
              <w:t xml:space="preserve"> </w:t>
            </w:r>
            <w:r>
              <w:rPr>
                <w:rFonts w:eastAsia="等线"/>
                <w:lang w:eastAsia="zh-CN"/>
              </w:rPr>
              <w:tab/>
            </w:r>
            <w:r>
              <w:rPr>
                <w:rFonts w:hint="eastAsia" w:eastAsia="等线"/>
                <w:lang w:val="en-US" w:eastAsia="zh-CN"/>
              </w:rPr>
              <w:t>ATG BS</w:t>
            </w:r>
            <w:r>
              <w:t xml:space="preserve"> is assumed to serve UEs in the rural environment</w:t>
            </w:r>
            <w:r>
              <w:rPr>
                <w:rFonts w:hint="eastAsia"/>
                <w:lang w:val="en-US" w:eastAsia="zh-CN"/>
              </w:rPr>
              <w:t>.</w:t>
            </w:r>
          </w:p>
        </w:tc>
      </w:tr>
    </w:tbl>
    <w:p/>
    <w:p>
      <w:pPr>
        <w:spacing w:after="120"/>
        <w:rPr>
          <w:rFonts w:hint="default" w:eastAsia="宋体"/>
          <w:lang w:val="en-US" w:eastAsia="zh-CN"/>
        </w:rPr>
      </w:pPr>
      <w:r>
        <w:rPr>
          <w:rFonts w:hint="eastAsia" w:eastAsia="宋体"/>
          <w:lang w:val="en-US" w:eastAsia="zh-CN"/>
        </w:rPr>
        <w:t xml:space="preserve">As shown in the following figure, </w:t>
      </w:r>
      <w:r>
        <w:rPr>
          <w:rFonts w:hint="eastAsia"/>
          <w:lang w:val="en-US" w:eastAsia="zh-CN"/>
        </w:rPr>
        <w:t>only single ATG UE is supposed to be served by the ATG BS. And for the simplification of coexistence study of ATG network, ATG UE is supposed to be moving in the line of ATG BS deployment as shown in following Figure 2.2.1-1.</w:t>
      </w:r>
    </w:p>
    <w:p>
      <w:r>
        <w:drawing>
          <wp:inline distT="0" distB="0" distL="114300" distR="114300">
            <wp:extent cx="6188075" cy="1739265"/>
            <wp:effectExtent l="0" t="0" r="317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6188075" cy="1739265"/>
                    </a:xfrm>
                    <a:prstGeom prst="rect">
                      <a:avLst/>
                    </a:prstGeom>
                    <a:noFill/>
                    <a:ln>
                      <a:noFill/>
                    </a:ln>
                  </pic:spPr>
                </pic:pic>
              </a:graphicData>
            </a:graphic>
          </wp:inline>
        </w:drawing>
      </w:r>
    </w:p>
    <w:p/>
    <w:p>
      <w:pPr>
        <w:jc w:val="center"/>
        <w:rPr>
          <w:rFonts w:hint="default"/>
          <w:b/>
          <w:bCs/>
          <w:lang w:val="en-US" w:eastAsia="zh-CN"/>
        </w:rPr>
      </w:pPr>
      <w:r>
        <w:rPr>
          <w:rFonts w:hint="eastAsia"/>
          <w:b/>
          <w:bCs/>
          <w:lang w:val="en-US" w:eastAsia="zh-CN"/>
        </w:rPr>
        <w:t>Figure 2.2.1-1 ATG network coexisting with terrest</w:t>
      </w:r>
      <w:r>
        <w:rPr>
          <w:rFonts w:hint="eastAsia"/>
          <w:b/>
          <w:bCs/>
          <w:color w:val="auto"/>
          <w:lang w:val="en-US" w:eastAsia="zh-CN"/>
        </w:rPr>
        <w:t>rial network [Rural area]</w:t>
      </w:r>
    </w:p>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2" w:name="_Toc104210155"/>
      <w:bookmarkStart w:id="13" w:name="_Toc94170345"/>
      <w:bookmarkStart w:id="14" w:name="_Toc104502867"/>
      <w:bookmarkStart w:id="15" w:name="_Toc104122349"/>
      <w:r>
        <w:rPr>
          <w:rFonts w:cs="Arial"/>
          <w:b w:val="0"/>
          <w:bCs w:val="0"/>
        </w:rPr>
        <w:t>2.2.2</w:t>
      </w:r>
      <w:r>
        <w:rPr>
          <w:rFonts w:cs="Arial"/>
          <w:b w:val="0"/>
          <w:bCs w:val="0"/>
        </w:rPr>
        <w:tab/>
      </w:r>
      <w:r>
        <w:rPr>
          <w:rFonts w:hint="eastAsia" w:cs="Arial"/>
          <w:b w:val="0"/>
          <w:bCs w:val="0"/>
          <w:lang w:val="en-US" w:eastAsia="zh-CN"/>
        </w:rPr>
        <w:t>ATG</w:t>
      </w:r>
      <w:r>
        <w:rPr>
          <w:rFonts w:cs="Arial"/>
          <w:b w:val="0"/>
          <w:bCs w:val="0"/>
        </w:rPr>
        <w:t xml:space="preserve"> UE parameters</w:t>
      </w:r>
      <w:bookmarkEnd w:id="11"/>
      <w:bookmarkEnd w:id="12"/>
      <w:bookmarkEnd w:id="13"/>
      <w:bookmarkEnd w:id="14"/>
      <w:bookmarkEnd w:id="15"/>
    </w:p>
    <w:p>
      <w:pPr>
        <w:spacing w:after="120"/>
        <w:rPr>
          <w:rFonts w:hint="eastAsia" w:eastAsia="宋体"/>
          <w:lang w:val="en-US" w:eastAsia="zh-CN"/>
        </w:rPr>
      </w:pPr>
      <w:r>
        <w:rPr>
          <w:rFonts w:hint="eastAsia" w:eastAsia="宋体"/>
          <w:lang w:val="en-US" w:eastAsia="zh-CN"/>
        </w:rPr>
        <w:t>ATG UE parameters are given in Table 2.2.2-1</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 xml:space="preserve">2.2.2-1: </w:t>
      </w:r>
      <w:r>
        <w:rPr>
          <w:rFonts w:hint="eastAsia"/>
          <w:b/>
          <w:bCs/>
          <w:sz w:val="20"/>
          <w:lang w:val="en-US" w:eastAsia="zh-CN"/>
        </w:rPr>
        <w:t xml:space="preserve">ATG </w:t>
      </w:r>
      <w:r>
        <w:rPr>
          <w:rFonts w:hint="eastAsia"/>
          <w:b/>
          <w:bCs/>
          <w:sz w:val="20"/>
          <w:lang w:val="zh-CN" w:eastAsia="zh-CN"/>
        </w:rPr>
        <w:t>UE characteristics for system level simulations</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0"/>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4"/>
            </w:pPr>
            <w:r>
              <w:t>Characteristics</w:t>
            </w:r>
          </w:p>
        </w:tc>
        <w:tc>
          <w:tcPr>
            <w:tcW w:w="1808" w:type="pct"/>
            <w:shd w:val="clear" w:color="auto" w:fill="auto"/>
          </w:tcPr>
          <w:p>
            <w:pPr>
              <w:pStyle w:val="34"/>
              <w:jc w:val="center"/>
              <w:rPr>
                <w:rFonts w:hint="default" w:eastAsiaTheme="minorEastAsia"/>
                <w:lang w:val="en-US" w:eastAsia="zh-CN"/>
              </w:rPr>
            </w:pPr>
            <w:r>
              <w:rPr>
                <w:rFonts w:hint="eastAsia"/>
                <w:lang w:val="en-US" w:eastAsia="zh-CN"/>
              </w:rPr>
              <w:t>CPE</w:t>
            </w:r>
          </w:p>
        </w:tc>
        <w:tc>
          <w:tcPr>
            <w:tcW w:w="1809" w:type="pct"/>
            <w:shd w:val="clear" w:color="auto" w:fill="auto"/>
            <w:vAlign w:val="top"/>
          </w:tcPr>
          <w:p>
            <w:pPr>
              <w:pStyle w:val="34"/>
              <w:jc w:val="center"/>
              <w:rPr>
                <w:rFonts w:hint="default" w:ascii="Arial" w:hAnsi="Arial" w:eastAsiaTheme="minorEastAsia" w:cstheme="minorBidi"/>
                <w:b/>
                <w:kern w:val="2"/>
                <w:sz w:val="18"/>
                <w:szCs w:val="24"/>
                <w:lang w:val="en-US" w:eastAsia="zh-CN" w:bidi="ar-SA"/>
              </w:rPr>
            </w:pPr>
            <w:r>
              <w:rPr>
                <w:rFonts w:hint="eastAsia"/>
                <w:lang w:val="en-US" w:eastAsia="zh-CN"/>
              </w:rPr>
              <w:t>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pPr>
            <w:r>
              <w:t>Frequency band</w:t>
            </w:r>
          </w:p>
        </w:tc>
        <w:tc>
          <w:tcPr>
            <w:tcW w:w="1808" w:type="pct"/>
            <w:shd w:val="clear" w:color="auto" w:fill="auto"/>
          </w:tcPr>
          <w:p>
            <w:pPr>
              <w:pStyle w:val="36"/>
              <w:rPr>
                <w:rFonts w:hint="default" w:eastAsiaTheme="minorEastAsia"/>
                <w:lang w:val="en-US" w:eastAsia="zh-CN"/>
              </w:rPr>
            </w:pPr>
            <w:r>
              <w:rPr>
                <w:rFonts w:hint="eastAsia"/>
                <w:lang w:val="en-US" w:eastAsia="zh-CN"/>
              </w:rPr>
              <w:t xml:space="preserve">2.1GHz </w:t>
            </w:r>
          </w:p>
        </w:tc>
        <w:tc>
          <w:tcPr>
            <w:tcW w:w="1809" w:type="pct"/>
            <w:shd w:val="clear" w:color="auto" w:fill="auto"/>
            <w:vAlign w:val="top"/>
          </w:tcPr>
          <w:p>
            <w:pPr>
              <w:pStyle w:val="36"/>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type and configuration</w:t>
            </w:r>
          </w:p>
        </w:tc>
        <w:tc>
          <w:tcPr>
            <w:tcW w:w="1808" w:type="pct"/>
            <w:shd w:val="clear" w:color="auto" w:fill="auto"/>
          </w:tcPr>
          <w:p>
            <w:pPr>
              <w:pStyle w:val="36"/>
              <w:rPr>
                <w:rFonts w:hint="default"/>
                <w:color w:val="auto"/>
                <w:lang w:val="en-US" w:eastAsia="zh-CN"/>
              </w:rPr>
            </w:pPr>
            <w:r>
              <w:rPr>
                <w:rFonts w:hint="eastAsia"/>
                <w:color w:val="auto"/>
                <w:lang w:val="en-US" w:eastAsia="zh-CN"/>
              </w:rPr>
              <w:t>Omini antenna assumption</w:t>
            </w:r>
          </w:p>
        </w:tc>
        <w:tc>
          <w:tcPr>
            <w:tcW w:w="1809" w:type="pct"/>
            <w:shd w:val="clear" w:color="auto" w:fill="auto"/>
            <w:vAlign w:val="top"/>
          </w:tcPr>
          <w:p>
            <w:pPr>
              <w:pStyle w:val="36"/>
              <w:rPr>
                <w:rFonts w:hint="default" w:eastAsiaTheme="minorEastAsia"/>
                <w:color w:val="auto"/>
                <w:lang w:val="en-US" w:eastAsia="zh-CN"/>
              </w:rPr>
            </w:pPr>
            <w:r>
              <w:rPr>
                <w:rFonts w:hint="eastAsia"/>
                <w:color w:val="auto"/>
                <w:lang w:val="en-US" w:eastAsia="zh-CN"/>
              </w:rPr>
              <w:t xml:space="preserve">Antenna array assumption : (Note 1) </w:t>
            </w:r>
          </w:p>
          <w:p>
            <w:pPr>
              <w:pStyle w:val="36"/>
              <w:rPr>
                <w:rFonts w:hint="default"/>
                <w:color w:val="auto"/>
                <w:lang w:val="en-US" w:eastAsia="zh-CN"/>
              </w:rPr>
            </w:pPr>
            <w:r>
              <w:rPr>
                <w:rFonts w:hint="eastAsia"/>
                <w:color w:val="auto"/>
                <w:lang w:val="en-US" w:eastAsia="zh-CN"/>
              </w:rPr>
              <w:t xml:space="preserve"> (8x2x2) or  (16x1x2)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Polarisation</w:t>
            </w:r>
          </w:p>
        </w:tc>
        <w:tc>
          <w:tcPr>
            <w:tcW w:w="1808" w:type="pct"/>
            <w:shd w:val="clear" w:color="auto" w:fill="auto"/>
          </w:tcPr>
          <w:p>
            <w:pPr>
              <w:pStyle w:val="36"/>
              <w:rPr>
                <w:color w:val="auto"/>
              </w:rPr>
            </w:pPr>
            <w:r>
              <w:rPr>
                <w:color w:val="auto"/>
              </w:rPr>
              <w:t>Linear: +/-</w:t>
            </w:r>
            <w:r>
              <w:rPr>
                <w:rFonts w:hint="eastAsia"/>
                <w:color w:val="auto"/>
                <w:lang w:val="en-US" w:eastAsia="zh-CN"/>
              </w:rPr>
              <w:t>90</w:t>
            </w:r>
            <w:r>
              <w:rPr>
                <w:color w:val="auto"/>
              </w:rPr>
              <w:t>°X-pol</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Linear: +/-</w:t>
            </w:r>
            <w:r>
              <w:rPr>
                <w:rFonts w:hint="eastAsia"/>
                <w:color w:val="auto"/>
                <w:lang w:val="en-US" w:eastAsia="zh-CN"/>
              </w:rPr>
              <w:t>90</w:t>
            </w:r>
            <w:r>
              <w:rPr>
                <w:color w:val="auto"/>
              </w:rPr>
              <w:t>°X-pol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 xml:space="preserve">Rx Antenna gain </w:t>
            </w:r>
          </w:p>
        </w:tc>
        <w:tc>
          <w:tcPr>
            <w:tcW w:w="1808" w:type="pct"/>
            <w:shd w:val="clear" w:color="auto" w:fill="auto"/>
          </w:tcPr>
          <w:p>
            <w:pPr>
              <w:pStyle w:val="36"/>
              <w:rPr>
                <w:rFonts w:hint="default"/>
                <w:color w:val="auto"/>
                <w:lang w:val="en-US"/>
              </w:rPr>
            </w:pPr>
            <w:r>
              <w:rPr>
                <w:rFonts w:hint="eastAsia"/>
                <w:color w:val="auto"/>
                <w:lang w:val="en-US" w:eastAsia="zh-CN"/>
              </w:rPr>
              <w:t>0dBi</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rFonts w:hint="eastAsia"/>
                <w:color w:val="auto"/>
                <w:lang w:val="en-US" w:eastAsia="zh-CN"/>
              </w:rPr>
              <w:t>4-5dBi；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temperature</w:t>
            </w:r>
          </w:p>
        </w:tc>
        <w:tc>
          <w:tcPr>
            <w:tcW w:w="1808" w:type="pct"/>
            <w:shd w:val="clear" w:color="auto" w:fill="auto"/>
          </w:tcPr>
          <w:p>
            <w:pPr>
              <w:pStyle w:val="36"/>
              <w:rPr>
                <w:color w:val="auto"/>
              </w:rPr>
            </w:pPr>
            <w:r>
              <w:rPr>
                <w:color w:val="auto"/>
              </w:rPr>
              <w:t>290 K</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Noise figure</w:t>
            </w:r>
          </w:p>
        </w:tc>
        <w:tc>
          <w:tcPr>
            <w:tcW w:w="1808" w:type="pct"/>
            <w:shd w:val="clear" w:color="auto" w:fill="auto"/>
          </w:tcPr>
          <w:p>
            <w:pPr>
              <w:pStyle w:val="36"/>
              <w:rPr>
                <w:color w:val="auto"/>
              </w:rPr>
            </w:pPr>
            <w:r>
              <w:rPr>
                <w:color w:val="auto"/>
              </w:rPr>
              <w:t>9 dB</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transmit power</w:t>
            </w:r>
          </w:p>
        </w:tc>
        <w:tc>
          <w:tcPr>
            <w:tcW w:w="1808" w:type="pct"/>
            <w:shd w:val="clear" w:color="auto" w:fill="auto"/>
          </w:tcPr>
          <w:p>
            <w:pPr>
              <w:pStyle w:val="36"/>
              <w:rPr>
                <w:rFonts w:hint="eastAsia"/>
                <w:b w:val="0"/>
                <w:bCs w:val="0"/>
                <w:color w:val="auto"/>
                <w:lang w:val="en-US" w:eastAsia="zh-CN"/>
              </w:rPr>
            </w:pPr>
            <w:r>
              <w:rPr>
                <w:rFonts w:hint="eastAsia"/>
                <w:b w:val="0"/>
                <w:bCs w:val="0"/>
                <w:color w:val="auto"/>
                <w:lang w:val="en-US" w:eastAsia="zh-CN"/>
              </w:rPr>
              <w:t>33dBm per polarization;</w:t>
            </w:r>
          </w:p>
          <w:p>
            <w:pPr>
              <w:pStyle w:val="36"/>
              <w:rPr>
                <w:rFonts w:hint="default"/>
                <w:color w:val="auto"/>
                <w:lang w:val="en-US" w:eastAsia="zh-CN"/>
              </w:rPr>
            </w:pPr>
            <w:r>
              <w:rPr>
                <w:rFonts w:hint="eastAsia"/>
                <w:b w:val="0"/>
                <w:bCs w:val="0"/>
                <w:color w:val="auto"/>
                <w:lang w:val="en-US" w:eastAsia="zh-CN"/>
              </w:rPr>
              <w:t>36dBm for two polarization</w:t>
            </w:r>
            <w:r>
              <w:rPr>
                <w:rFonts w:hint="eastAsia"/>
                <w:b/>
                <w:bCs/>
                <w:color w:val="auto"/>
                <w:lang w:val="en-US" w:eastAsia="zh-CN"/>
              </w:rPr>
              <w:t>;</w:t>
            </w:r>
          </w:p>
        </w:tc>
        <w:tc>
          <w:tcPr>
            <w:tcW w:w="1809" w:type="pct"/>
            <w:shd w:val="clear" w:color="auto" w:fill="auto"/>
            <w:vAlign w:val="top"/>
          </w:tcPr>
          <w:p>
            <w:pPr>
              <w:pStyle w:val="36"/>
              <w:rPr>
                <w:rFonts w:hint="default"/>
                <w:color w:val="auto"/>
                <w:lang w:val="en-US" w:eastAsia="zh-CN"/>
              </w:rPr>
            </w:pPr>
            <w:r>
              <w:rPr>
                <w:rFonts w:hint="eastAsia"/>
                <w:color w:val="auto"/>
                <w:lang w:val="en-US" w:eastAsia="zh-CN"/>
              </w:rPr>
              <w:t xml:space="preserve">26dBm per polarization </w:t>
            </w:r>
          </w:p>
          <w:p>
            <w:pPr>
              <w:pStyle w:val="36"/>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antenna gain</w:t>
            </w:r>
          </w:p>
        </w:tc>
        <w:tc>
          <w:tcPr>
            <w:tcW w:w="1808"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color w:val="auto"/>
                <w:lang w:val="en-US" w:eastAsia="zh-CN"/>
              </w:rPr>
              <w:t>0dbi</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rFonts w:hint="eastAsia"/>
                <w:color w:val="auto"/>
                <w:lang w:val="en-US" w:eastAsia="zh-CN"/>
              </w:rPr>
              <w:t>4-5dBi；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shd w:val="clear" w:color="auto" w:fill="auto"/>
          </w:tcPr>
          <w:p>
            <w:pPr>
              <w:pStyle w:val="36"/>
              <w:rPr>
                <w:rFonts w:hint="eastAsia"/>
                <w:color w:val="auto"/>
                <w:lang w:val="en-US" w:eastAsia="zh-CN"/>
              </w:rPr>
            </w:pPr>
            <w:r>
              <w:rPr>
                <w:rFonts w:hint="eastAsia"/>
                <w:color w:val="auto"/>
                <w:lang w:val="en-US" w:eastAsia="zh-CN"/>
              </w:rPr>
              <w:t>NOTE 1: 8 or 16 antenna elements are placed along the aircraft moving direction for the ease of the installation.</w:t>
            </w:r>
          </w:p>
        </w:tc>
      </w:tr>
    </w:tbl>
    <w:p/>
    <w:p>
      <w:pPr>
        <w:jc w:val="center"/>
        <w:rPr>
          <w:rFonts w:hint="default"/>
          <w:lang w:val="en-US"/>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2.2.2-</w:t>
      </w:r>
      <w:r>
        <w:rPr>
          <w:rFonts w:hint="eastAsia"/>
          <w:b/>
          <w:bCs/>
          <w:sz w:val="20"/>
          <w:lang w:val="en-US" w:eastAsia="zh-CN"/>
        </w:rPr>
        <w:t>2</w:t>
      </w:r>
      <w:r>
        <w:rPr>
          <w:rFonts w:hint="eastAsia"/>
          <w:b/>
          <w:bCs/>
          <w:sz w:val="20"/>
          <w:lang w:val="zh-CN" w:eastAsia="zh-CN"/>
        </w:rPr>
        <w:t xml:space="preserve">: </w:t>
      </w:r>
      <w:r>
        <w:rPr>
          <w:rFonts w:hint="eastAsia"/>
          <w:b/>
          <w:bCs/>
          <w:sz w:val="20"/>
          <w:lang w:val="en-US" w:eastAsia="zh-CN"/>
        </w:rPr>
        <w:t xml:space="preserve">antenna array assumption for ATG </w:t>
      </w:r>
      <w:r>
        <w:rPr>
          <w:rFonts w:hint="eastAsia"/>
          <w:b/>
          <w:bCs/>
          <w:sz w:val="20"/>
          <w:lang w:val="zh-CN" w:eastAsia="zh-CN"/>
        </w:rPr>
        <w:t xml:space="preserve">UE </w:t>
      </w:r>
      <w:r>
        <w:rPr>
          <w:rFonts w:hint="eastAsia"/>
          <w:b/>
          <w:bCs/>
          <w:sz w:val="20"/>
          <w:lang w:val="en-US" w:eastAsia="zh-CN"/>
        </w:rPr>
        <w:t>at 3.5GHz and 4.9GHz</w:t>
      </w:r>
    </w:p>
    <w:tbl>
      <w:tblPr>
        <w:tblStyle w:val="23"/>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75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90º for H</w:t>
            </w:r>
          </w:p>
          <w:p>
            <w:pPr>
              <w:pStyle w:val="35"/>
              <w:rPr>
                <w:rFonts w:hint="default" w:eastAsiaTheme="minorEastAsia"/>
                <w:color w:val="auto"/>
                <w:lang w:val="en-US" w:eastAsia="zh-CN"/>
              </w:rPr>
            </w:pPr>
            <w:r>
              <w:rPr>
                <w:rFonts w:hint="eastAsia"/>
                <w:color w:val="auto"/>
                <w:lang w:val="en-US" w:eastAsia="zh-CN"/>
              </w:rPr>
              <w:t>[54</w:t>
            </w:r>
            <w:r>
              <w:rPr>
                <w:color w:val="auto"/>
              </w:rPr>
              <w:t>º</w:t>
            </w:r>
            <w:r>
              <w:rPr>
                <w:rFonts w:hint="eastAsia" w:eastAsia="宋体"/>
                <w:color w:val="auto"/>
                <w:lang w:val="en-US" w:eastAsia="zh-CN"/>
              </w:rPr>
              <w:t>]</w:t>
            </w:r>
            <w:r>
              <w:rPr>
                <w:color w:val="auto"/>
              </w:rPr>
              <w:t xml:space="preserve"> for V</w:t>
            </w:r>
            <w:r>
              <w:rPr>
                <w:rFonts w:hint="eastAsia"/>
                <w:color w:val="auto"/>
                <w:lang w:val="en-US" w:eastAsia="zh-CN"/>
              </w:rPr>
              <w:t xml:space="preserve"> /</w:t>
            </w:r>
            <w:r>
              <w:rPr>
                <w:rFonts w:hint="eastAsia"/>
                <w:color w:val="auto"/>
                <w:highlight w:val="yellow"/>
                <w:lang w:val="en-US" w:eastAsia="zh-CN"/>
              </w:rPr>
              <w:t>[60-70]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hint="default" w:eastAsiaTheme="minorEastAsia"/>
                <w:color w:val="auto"/>
                <w:lang w:val="en-US" w:eastAsia="zh-CN"/>
              </w:rPr>
            </w:pPr>
            <w:r>
              <w:rPr>
                <w:rFonts w:hint="eastAsia"/>
                <w:color w:val="auto"/>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Linear ±</w:t>
            </w:r>
            <w:r>
              <w:rPr>
                <w:rFonts w:hint="eastAsia"/>
                <w:color w:val="auto"/>
                <w:lang w:val="en-US" w:eastAsia="zh-CN"/>
              </w:rPr>
              <w:t>90</w:t>
            </w:r>
            <w:r>
              <w:rPr>
                <w:color w:val="auto"/>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2020" w:type="pct"/>
            <w:tcBorders>
              <w:top w:val="single" w:color="auto" w:sz="4" w:space="0"/>
              <w:left w:val="single" w:color="auto" w:sz="4" w:space="0"/>
              <w:bottom w:val="single" w:color="auto" w:sz="4" w:space="0"/>
            </w:tcBorders>
            <w:shd w:val="clear" w:color="auto" w:fill="auto"/>
            <w:vAlign w:val="center"/>
          </w:tcPr>
          <w:p>
            <w:pPr>
              <w:pStyle w:val="35"/>
              <w:rPr>
                <w:rFonts w:hint="eastAsia"/>
                <w:color w:val="auto"/>
                <w:lang w:val="en-US" w:eastAsia="zh-CN"/>
              </w:rPr>
            </w:pPr>
            <w:r>
              <w:rPr>
                <w:rFonts w:hint="eastAsia"/>
                <w:color w:val="auto"/>
                <w:lang w:val="en-US" w:eastAsia="zh-CN"/>
              </w:rPr>
              <w:t xml:space="preserve"> (8x2x2) or  </w:t>
            </w:r>
          </w:p>
          <w:p>
            <w:pPr>
              <w:pStyle w:val="35"/>
              <w:rPr>
                <w:rFonts w:hint="default"/>
                <w:color w:val="auto"/>
                <w:lang w:val="en-US" w:eastAsia="zh-CN"/>
              </w:rPr>
            </w:pPr>
            <w:r>
              <w:rPr>
                <w:rFonts w:hint="eastAsia"/>
                <w:color w:val="auto"/>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0.5 of wavelength for H, 0.</w:t>
            </w:r>
            <w:r>
              <w:rPr>
                <w:rFonts w:hint="eastAsia"/>
                <w:color w:val="auto"/>
                <w:lang w:val="en-US" w:eastAsia="zh-CN"/>
              </w:rPr>
              <w:t>5</w:t>
            </w:r>
            <w:r>
              <w:rPr>
                <w:color w:val="auto"/>
              </w:rPr>
              <w:t xml:space="preserve"> of wavelength for V</w:t>
            </w:r>
          </w:p>
        </w:tc>
      </w:tr>
    </w:tbl>
    <w:p>
      <w:pPr>
        <w:pStyle w:val="40"/>
        <w:bidi w:val="0"/>
        <w:ind w:left="0" w:leftChars="0" w:firstLine="0" w:firstLineChars="0"/>
        <w:rPr>
          <w:rFonts w:hint="default"/>
          <w:lang w:val="en-US"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6" w:name="_Toc104502869"/>
      <w:bookmarkStart w:id="17" w:name="_Toc104210157"/>
      <w:bookmarkStart w:id="18" w:name="_Toc104122351"/>
      <w:bookmarkStart w:id="19" w:name="_Toc87889246"/>
      <w:bookmarkStart w:id="20" w:name="_Toc94170347"/>
      <w:r>
        <w:rPr>
          <w:rFonts w:cs="Arial"/>
          <w:b w:val="0"/>
          <w:bCs w:val="0"/>
        </w:rPr>
        <w:t>2.2.</w:t>
      </w:r>
      <w:r>
        <w:rPr>
          <w:rFonts w:hint="eastAsia" w:cs="Arial"/>
          <w:b w:val="0"/>
          <w:bCs w:val="0"/>
          <w:lang w:val="en-US" w:eastAsia="zh-CN"/>
        </w:rPr>
        <w:t>3</w:t>
      </w:r>
      <w:r>
        <w:rPr>
          <w:rFonts w:cs="Arial"/>
          <w:b w:val="0"/>
          <w:bCs w:val="0"/>
        </w:rPr>
        <w:tab/>
      </w:r>
      <w:r>
        <w:rPr>
          <w:rFonts w:cs="Arial"/>
          <w:b w:val="0"/>
          <w:bCs w:val="0"/>
        </w:rPr>
        <w:t>TN parameters</w:t>
      </w:r>
      <w:bookmarkEnd w:id="16"/>
      <w:bookmarkEnd w:id="17"/>
      <w:bookmarkEnd w:id="18"/>
      <w:bookmarkEnd w:id="19"/>
      <w:bookmarkEnd w:id="20"/>
    </w:p>
    <w:p>
      <w:pPr>
        <w:spacing w:after="120"/>
        <w:rPr>
          <w:rFonts w:hint="eastAsia" w:eastAsia="宋体"/>
          <w:lang w:val="en-US" w:eastAsia="zh-CN"/>
        </w:rPr>
      </w:pPr>
      <w:r>
        <w:rPr>
          <w:rFonts w:hint="eastAsia" w:eastAsia="宋体"/>
          <w:lang w:val="en-US" w:eastAsia="zh-CN"/>
        </w:rPr>
        <w:t>TN parameters for co-existence study are given in Table 2.2.</w:t>
      </w:r>
      <w:r>
        <w:rPr>
          <w:rFonts w:hint="eastAsia"/>
          <w:lang w:val="en-US" w:eastAsia="zh-CN"/>
        </w:rPr>
        <w:t>3</w:t>
      </w:r>
      <w:r>
        <w:rPr>
          <w:rFonts w:hint="eastAsia" w:eastAsia="宋体"/>
          <w:lang w:val="en-US" w:eastAsia="zh-CN"/>
        </w:rPr>
        <w:t>-1, 2.2.</w:t>
      </w:r>
      <w:r>
        <w:rPr>
          <w:rFonts w:hint="eastAsia"/>
          <w:lang w:val="en-US" w:eastAsia="zh-CN"/>
        </w:rPr>
        <w:t>3</w:t>
      </w:r>
      <w:r>
        <w:rPr>
          <w:rFonts w:hint="eastAsia" w:eastAsia="宋体"/>
          <w:lang w:val="en-US" w:eastAsia="zh-CN"/>
        </w:rPr>
        <w:t>-2 and 2.2.</w:t>
      </w:r>
      <w:r>
        <w:rPr>
          <w:rFonts w:hint="eastAsia"/>
          <w:lang w:val="en-US" w:eastAsia="zh-CN"/>
        </w:rPr>
        <w:t>3</w:t>
      </w:r>
      <w:r>
        <w:rPr>
          <w:rFonts w:hint="eastAsia" w:eastAsia="宋体"/>
          <w:lang w:val="en-US" w:eastAsia="zh-CN"/>
        </w:rPr>
        <w:t>-3.</w:t>
      </w: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-1: Simulation assumptions of TN respectively based on NR</w:t>
      </w:r>
    </w:p>
    <w:tbl>
      <w:tblPr>
        <w:tblStyle w:val="9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0" w:type="pct"/>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rPr>
            </w:pPr>
            <w:r>
              <w:rPr>
                <w:rFonts w:hint="eastAsia" w:eastAsia="Yu Mincho"/>
              </w:rPr>
              <w:t>N</w:t>
            </w:r>
            <w:r>
              <w:rPr>
                <w:rFonts w:eastAsia="Yu Mincho"/>
              </w:rPr>
              <w:t>R</w:t>
            </w:r>
          </w:p>
        </w:tc>
        <w:tc>
          <w:tcPr>
            <w:tcW w:w="1729" w:type="pct"/>
          </w:tcPr>
          <w:p>
            <w:pPr>
              <w:pStyle w:val="34"/>
              <w:overflowPunct w:val="0"/>
              <w:autoSpaceDE w:val="0"/>
              <w:autoSpaceDN w:val="0"/>
              <w:adjustRightInd w:val="0"/>
              <w:spacing w:after="180"/>
              <w:textAlignment w:val="baseline"/>
              <w:rPr>
                <w:rFonts w:hint="default" w:eastAsia="宋体"/>
                <w:lang w:val="en-US" w:eastAsia="zh-CN"/>
              </w:rPr>
            </w:pPr>
            <w:r>
              <w:rPr>
                <w:rFonts w:hint="eastAsia" w:eastAsia="Yu Mincho"/>
              </w:rPr>
              <w:t>N</w:t>
            </w:r>
            <w:r>
              <w:rPr>
                <w:rFonts w:eastAsia="Yu Mincho"/>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Carrier frequency in GHz</w:t>
            </w:r>
          </w:p>
        </w:tc>
        <w:tc>
          <w:tcPr>
            <w:tcW w:w="1729" w:type="pct"/>
          </w:tcPr>
          <w:p>
            <w:pPr>
              <w:pStyle w:val="35"/>
              <w:overflowPunct w:val="0"/>
              <w:autoSpaceDE w:val="0"/>
              <w:autoSpaceDN w:val="0"/>
              <w:adjustRightInd w:val="0"/>
              <w:spacing w:after="180"/>
              <w:textAlignment w:val="baseline"/>
              <w:rPr>
                <w:rFonts w:hint="default" w:eastAsia="宋体"/>
                <w:lang w:val="en-US" w:eastAsia="zh-CN"/>
              </w:rPr>
            </w:pPr>
            <w:r>
              <w:rPr>
                <w:rFonts w:eastAsia="Yu Mincho"/>
                <w:color w:val="000000"/>
                <w:szCs w:val="18"/>
              </w:rPr>
              <w:t>2</w:t>
            </w:r>
            <w:r>
              <w:rPr>
                <w:rFonts w:hint="eastAsia" w:eastAsia="宋体"/>
                <w:color w:val="000000"/>
                <w:szCs w:val="18"/>
                <w:lang w:val="en-US" w:eastAsia="zh-CN"/>
              </w:rPr>
              <w:t>.1GHz</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lang w:val="en-US" w:eastAsia="zh-CN" w:bidi="ar-SA"/>
              </w:rPr>
            </w:pPr>
            <w:r>
              <w:rPr>
                <w:rFonts w:hint="eastAsia" w:eastAsia="宋体"/>
                <w:color w:val="auto"/>
                <w:szCs w:val="18"/>
                <w:lang w:val="en-US" w:eastAsia="zh-CN"/>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Size of each nominal channel BW in MHz</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20</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lang w:val="en-US" w:eastAsia="zh-CN" w:bidi="ar-SA"/>
              </w:rPr>
            </w:pPr>
            <w:r>
              <w:rPr>
                <w:rFonts w:hint="eastAsia" w:eastAsia="宋体"/>
                <w:color w:val="auto"/>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Transmission bandwidth in MHz</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N/A</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Environment</w:t>
            </w:r>
          </w:p>
        </w:tc>
        <w:tc>
          <w:tcPr>
            <w:tcW w:w="1729" w:type="pct"/>
          </w:tcPr>
          <w:p>
            <w:pPr>
              <w:pStyle w:val="35"/>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val="en-US" w:eastAsia="zh-CN"/>
              </w:rPr>
              <w:t>Rural</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highlight w:val="none"/>
                <w:lang w:val="en-US" w:eastAsia="zh-CN" w:bidi="ar-SA"/>
              </w:rPr>
            </w:pPr>
            <w:r>
              <w:rPr>
                <w:rFonts w:hint="eastAsia" w:eastAsia="宋体"/>
                <w:color w:val="auto"/>
                <w:highlight w:val="none"/>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Network layout</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19-sites 57 sectors with wrap-around</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Inter-site distance in meter</w:t>
            </w:r>
          </w:p>
        </w:tc>
        <w:tc>
          <w:tcPr>
            <w:tcW w:w="1729" w:type="pct"/>
          </w:tcPr>
          <w:p>
            <w:pPr>
              <w:pStyle w:val="35"/>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val="en-US" w:eastAsia="zh-CN"/>
              </w:rPr>
              <w:t>7500m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none"/>
                <w:lang w:val="en-US" w:eastAsia="zh-CN" w:bidi="ar-SA"/>
              </w:rPr>
            </w:pPr>
            <w:r>
              <w:rPr>
                <w:rFonts w:hint="eastAsia" w:eastAsia="宋体"/>
                <w:highlight w:val="none"/>
                <w:lang w:val="en-US" w:eastAsia="zh-CN"/>
              </w:rPr>
              <w:t>7500m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System loading and activity</w:t>
            </w:r>
          </w:p>
        </w:tc>
        <w:tc>
          <w:tcPr>
            <w:tcW w:w="1729" w:type="pct"/>
          </w:tcPr>
          <w:p>
            <w:pPr>
              <w:pStyle w:val="35"/>
              <w:overflowPunct w:val="0"/>
              <w:autoSpaceDE w:val="0"/>
              <w:autoSpaceDN w:val="0"/>
              <w:adjustRightInd w:val="0"/>
              <w:spacing w:after="180"/>
              <w:textAlignment w:val="baseline"/>
              <w:rPr>
                <w:rFonts w:hint="default" w:eastAsia="宋体"/>
                <w:color w:val="000000"/>
                <w:szCs w:val="18"/>
                <w:highlight w:val="none"/>
                <w:lang w:val="en-US" w:eastAsia="zh-CN"/>
              </w:rPr>
            </w:pPr>
            <w:r>
              <w:rPr>
                <w:rFonts w:hint="eastAsia" w:eastAsia="宋体"/>
                <w:color w:val="000000"/>
                <w:szCs w:val="18"/>
                <w:highlight w:val="none"/>
                <w:lang w:val="en-US" w:eastAsia="zh-CN"/>
              </w:rPr>
              <w:t>NA</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18"/>
                <w:highlight w:val="none"/>
                <w:lang w:val="en-US" w:eastAsia="zh-CN" w:bidi="ar-SA"/>
              </w:rPr>
            </w:pPr>
            <w:r>
              <w:rPr>
                <w:rFonts w:hint="eastAsia" w:eastAsia="宋体"/>
                <w:color w:val="auto"/>
                <w:szCs w:val="18"/>
                <w:highlight w:val="no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Network location</w:t>
            </w:r>
          </w:p>
        </w:tc>
        <w:tc>
          <w:tcPr>
            <w:tcW w:w="1729" w:type="pct"/>
          </w:tcPr>
          <w:p>
            <w:pPr>
              <w:pStyle w:val="35"/>
              <w:overflowPunct w:val="0"/>
              <w:autoSpaceDE w:val="0"/>
              <w:autoSpaceDN w:val="0"/>
              <w:adjustRightInd w:val="0"/>
              <w:spacing w:after="180"/>
              <w:textAlignment w:val="baseline"/>
              <w:rPr>
                <w:rFonts w:eastAsia="宋体"/>
                <w:highlight w:val="none"/>
              </w:rPr>
            </w:pPr>
            <w:r>
              <w:rPr>
                <w:rFonts w:hint="eastAsia" w:eastAsia="Yu Mincho"/>
                <w:color w:val="auto"/>
                <w:szCs w:val="18"/>
                <w:highlight w:val="none"/>
              </w:rPr>
              <w:t xml:space="preserve">See </w:t>
            </w:r>
            <w:r>
              <w:rPr>
                <w:rFonts w:hint="eastAsia" w:eastAsia="Yu Mincho"/>
                <w:color w:val="auto"/>
                <w:szCs w:val="18"/>
                <w:highlight w:val="none"/>
                <w:lang w:val="en-US" w:eastAsia="zh-CN"/>
              </w:rPr>
              <w:t>Figure 2.3.3-1</w:t>
            </w:r>
          </w:p>
        </w:tc>
        <w:tc>
          <w:tcPr>
            <w:tcW w:w="1729" w:type="pct"/>
            <w:vAlign w:val="top"/>
          </w:tcPr>
          <w:p>
            <w:pPr>
              <w:pStyle w:val="35"/>
              <w:overflowPunct w:val="0"/>
              <w:autoSpaceDE w:val="0"/>
              <w:autoSpaceDN w:val="0"/>
              <w:adjustRightInd w:val="0"/>
              <w:spacing w:after="180"/>
              <w:textAlignment w:val="baseline"/>
              <w:rPr>
                <w:rFonts w:hint="eastAsia" w:ascii="Arial" w:hAnsi="Arial" w:eastAsia="宋体" w:cstheme="minorBidi"/>
                <w:color w:val="auto"/>
                <w:kern w:val="2"/>
                <w:sz w:val="18"/>
                <w:szCs w:val="24"/>
                <w:highlight w:val="none"/>
                <w:lang w:val="en-US" w:eastAsia="zh-CN" w:bidi="ar-SA"/>
              </w:rPr>
            </w:pPr>
            <w:r>
              <w:rPr>
                <w:rFonts w:hint="eastAsia" w:eastAsia="Yu Mincho"/>
                <w:color w:val="auto"/>
                <w:szCs w:val="18"/>
                <w:highlight w:val="none"/>
              </w:rPr>
              <w:t xml:space="preserve">See </w:t>
            </w:r>
            <w:r>
              <w:rPr>
                <w:rFonts w:hint="eastAsia" w:eastAsia="Yu Mincho"/>
                <w:color w:val="auto"/>
                <w:szCs w:val="18"/>
                <w:highlight w:val="none"/>
                <w:lang w:val="en-US" w:eastAsia="zh-CN"/>
              </w:rPr>
              <w:t>Figure 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DL subcarrier spacing</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15kHz</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hint="eastAsia" w:eastAsia="宋体"/>
                <w:color w:val="auto"/>
                <w:szCs w:val="18"/>
                <w:lang w:val="en-US" w:eastAsia="zh-CN"/>
              </w:rPr>
              <w:t>30</w:t>
            </w:r>
            <w:r>
              <w:rPr>
                <w:rFonts w:eastAsia="Yu Mincho"/>
                <w:color w:val="auto"/>
                <w:szCs w:val="18"/>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OFDMA</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DL power control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No</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UL power control</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TR 36.942[8]</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Frequency reuse</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Number of scheduled UE per cell (DL)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Number of scheduled UE per cell (UL)</w:t>
            </w:r>
          </w:p>
        </w:tc>
        <w:tc>
          <w:tcPr>
            <w:tcW w:w="1729" w:type="pct"/>
          </w:tcPr>
          <w:p>
            <w:pPr>
              <w:pStyle w:val="35"/>
              <w:overflowPunct w:val="0"/>
              <w:autoSpaceDE w:val="0"/>
              <w:autoSpaceDN w:val="0"/>
              <w:adjustRightInd w:val="0"/>
              <w:spacing w:after="180"/>
              <w:textAlignment w:val="baseline"/>
              <w:rPr>
                <w:rFonts w:hint="eastAsia" w:eastAsia="宋体"/>
                <w:lang w:eastAsia="zh-CN"/>
              </w:rPr>
            </w:pPr>
            <w:r>
              <w:rPr>
                <w:rFonts w:hint="eastAsia" w:eastAsia="宋体"/>
                <w:color w:val="000000"/>
                <w:szCs w:val="18"/>
                <w:lang w:val="en-US" w:eastAsia="zh-CN"/>
              </w:rPr>
              <w:t>1</w:t>
            </w:r>
          </w:p>
        </w:tc>
        <w:tc>
          <w:tcPr>
            <w:tcW w:w="1729" w:type="pct"/>
            <w:vAlign w:val="top"/>
          </w:tcPr>
          <w:p>
            <w:pPr>
              <w:pStyle w:val="35"/>
              <w:overflowPunct w:val="0"/>
              <w:autoSpaceDE w:val="0"/>
              <w:autoSpaceDN w:val="0"/>
              <w:adjustRightInd w:val="0"/>
              <w:spacing w:after="180"/>
              <w:textAlignment w:val="baseline"/>
              <w:rPr>
                <w:rFonts w:hint="eastAsia" w:ascii="Arial" w:hAnsi="Arial" w:eastAsia="宋体" w:cstheme="minorBidi"/>
                <w:color w:val="auto"/>
                <w:kern w:val="2"/>
                <w:sz w:val="18"/>
                <w:szCs w:val="24"/>
                <w:lang w:val="en-US" w:eastAsia="zh-CN" w:bidi="ar-SA"/>
              </w:rPr>
            </w:pPr>
            <w:r>
              <w:rPr>
                <w:rFonts w:hint="eastAsia" w:eastAsia="宋体"/>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antenna height in meter</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1.5m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TX power in dBm</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-40 to 23</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-33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antenna gain in dBi</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Building penetration loss</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In pathloss model, 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Cell selection margin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3</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BS-MS min distance in meters</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hint="eastAsia" w:eastAsia="Yu Mincho"/>
              </w:rPr>
              <w:t>3</w:t>
            </w:r>
            <w:r>
              <w:rPr>
                <w:rFonts w:eastAsia="Yu Mincho"/>
              </w:rPr>
              <w:t>5</w:t>
            </w:r>
          </w:p>
        </w:tc>
        <w:tc>
          <w:tcPr>
            <w:tcW w:w="1729" w:type="pct"/>
            <w:vAlign w:val="top"/>
          </w:tcPr>
          <w:p>
            <w:pPr>
              <w:pStyle w:val="35"/>
              <w:overflowPunct w:val="0"/>
              <w:autoSpaceDE w:val="0"/>
              <w:autoSpaceDN w:val="0"/>
              <w:adjustRightInd w:val="0"/>
              <w:spacing w:after="180"/>
              <w:textAlignment w:val="baseline"/>
              <w:rPr>
                <w:rFonts w:hint="eastAsia" w:ascii="Arial" w:hAnsi="Arial" w:eastAsia="Yu Mincho" w:cstheme="minorBidi"/>
                <w:color w:val="auto"/>
                <w:kern w:val="2"/>
                <w:sz w:val="18"/>
                <w:szCs w:val="24"/>
                <w:highlight w:val="cyan"/>
                <w:lang w:val="en-US" w:eastAsia="zh-CN" w:bidi="ar-SA"/>
              </w:rPr>
            </w:pPr>
            <w:r>
              <w:rPr>
                <w:rFonts w:hint="eastAsia" w:eastAsia="Yu Mincho"/>
                <w:color w:val="auto"/>
              </w:rPr>
              <w:t>3</w:t>
            </w:r>
            <w:r>
              <w:rPr>
                <w:rFonts w:eastAsia="Yu Mincho"/>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BS noise figure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5</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lang w:val="fr-FR"/>
              </w:rPr>
            </w:pPr>
            <w:r>
              <w:rPr>
                <w:rFonts w:eastAsia="Yu Mincho"/>
                <w:lang w:val="fr-FR"/>
              </w:rPr>
              <w:t>UE noise figure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9</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0" w:type="pct"/>
          </w:tcPr>
          <w:p>
            <w:pPr>
              <w:pStyle w:val="36"/>
              <w:overflowPunct w:val="0"/>
              <w:autoSpaceDE w:val="0"/>
              <w:autoSpaceDN w:val="0"/>
              <w:adjustRightInd w:val="0"/>
              <w:spacing w:after="180"/>
              <w:textAlignment w:val="baseline"/>
              <w:rPr>
                <w:rFonts w:eastAsia="Yu Mincho"/>
              </w:rPr>
            </w:pPr>
            <w:r>
              <w:rPr>
                <w:rFonts w:eastAsia="Yu Mincho"/>
              </w:rPr>
              <w:t>BS-UE path-loss model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Standard deviation of BS-UE log-normal shadow fading in dB</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Deployment scenario related, referring to 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Shadowing correlation</w:t>
            </w:r>
          </w:p>
        </w:tc>
        <w:tc>
          <w:tcPr>
            <w:tcW w:w="1729" w:type="pct"/>
          </w:tcPr>
          <w:p>
            <w:pPr>
              <w:pStyle w:val="35"/>
              <w:overflowPunct w:val="0"/>
              <w:autoSpaceDE w:val="0"/>
              <w:autoSpaceDN w:val="0"/>
              <w:adjustRightInd w:val="0"/>
              <w:spacing w:after="180"/>
              <w:textAlignment w:val="baseline"/>
              <w:rPr>
                <w:rFonts w:eastAsia="Yu Mincho"/>
              </w:rPr>
            </w:pPr>
            <w:r>
              <w:rPr>
                <w:rFonts w:eastAsia="Yu Mincho"/>
              </w:rPr>
              <w:t xml:space="preserve">Inter-cell 0.5 </w:t>
            </w:r>
          </w:p>
          <w:p>
            <w:pPr>
              <w:pStyle w:val="35"/>
              <w:overflowPunct w:val="0"/>
              <w:autoSpaceDE w:val="0"/>
              <w:autoSpaceDN w:val="0"/>
              <w:adjustRightInd w:val="0"/>
              <w:spacing w:after="180"/>
              <w:textAlignment w:val="baseline"/>
              <w:rPr>
                <w:rFonts w:eastAsia="Yu Mincho"/>
              </w:rPr>
            </w:pPr>
            <w:r>
              <w:rPr>
                <w:rFonts w:eastAsia="Yu Mincho"/>
              </w:rPr>
              <w:t>Intra-cell 1</w:t>
            </w:r>
          </w:p>
        </w:tc>
        <w:tc>
          <w:tcPr>
            <w:tcW w:w="1729" w:type="pct"/>
            <w:vAlign w:val="top"/>
          </w:tcPr>
          <w:p>
            <w:pPr>
              <w:pStyle w:val="35"/>
              <w:overflowPunct w:val="0"/>
              <w:autoSpaceDE w:val="0"/>
              <w:autoSpaceDN w:val="0"/>
              <w:adjustRightInd w:val="0"/>
              <w:spacing w:after="180"/>
              <w:textAlignment w:val="baseline"/>
              <w:rPr>
                <w:rFonts w:eastAsia="Yu Mincho"/>
                <w:color w:val="auto"/>
              </w:rPr>
            </w:pPr>
            <w:r>
              <w:rPr>
                <w:rFonts w:eastAsia="Yu Mincho"/>
                <w:color w:val="auto"/>
              </w:rPr>
              <w:t xml:space="preserve">Inter-cell 0.5 </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Link-level performance model</w:t>
            </w:r>
          </w:p>
        </w:tc>
        <w:tc>
          <w:tcPr>
            <w:tcW w:w="1729" w:type="pct"/>
          </w:tcPr>
          <w:p>
            <w:pPr>
              <w:pStyle w:val="35"/>
              <w:overflowPunct w:val="0"/>
              <w:autoSpaceDE w:val="0"/>
              <w:autoSpaceDN w:val="0"/>
              <w:adjustRightInd w:val="0"/>
              <w:spacing w:after="180"/>
              <w:textAlignment w:val="baseline"/>
              <w:rPr>
                <w:rFonts w:eastAsia="Yu Mincho"/>
                <w:color w:val="000000"/>
                <w:szCs w:val="18"/>
              </w:rPr>
            </w:pPr>
            <w:r>
              <w:rPr>
                <w:rFonts w:eastAsia="Yu Mincho"/>
                <w:color w:val="000000"/>
                <w:szCs w:val="18"/>
              </w:rPr>
              <w:t>See Section 6.2.8</w:t>
            </w:r>
          </w:p>
          <w:p>
            <w:pPr>
              <w:pStyle w:val="35"/>
              <w:overflowPunct w:val="0"/>
              <w:autoSpaceDE w:val="0"/>
              <w:autoSpaceDN w:val="0"/>
              <w:adjustRightInd w:val="0"/>
              <w:spacing w:after="180"/>
              <w:textAlignment w:val="baseline"/>
              <w:rPr>
                <w:rFonts w:eastAsia="Yu Mincho"/>
              </w:rPr>
            </w:pPr>
            <w:r>
              <w:rPr>
                <w:rFonts w:eastAsia="Yu Mincho"/>
                <w:color w:val="000000"/>
                <w:szCs w:val="18"/>
              </w:rPr>
              <w:t>Throughtput-SINR mapping</w:t>
            </w:r>
          </w:p>
        </w:tc>
        <w:tc>
          <w:tcPr>
            <w:tcW w:w="1729" w:type="pct"/>
            <w:vAlign w:val="top"/>
          </w:tcPr>
          <w:p>
            <w:pPr>
              <w:pStyle w:val="35"/>
              <w:overflowPunct w:val="0"/>
              <w:autoSpaceDE w:val="0"/>
              <w:autoSpaceDN w:val="0"/>
              <w:adjustRightInd w:val="0"/>
              <w:spacing w:after="180"/>
              <w:textAlignment w:val="baseline"/>
              <w:rPr>
                <w:rFonts w:eastAsia="Yu Mincho"/>
                <w:color w:val="auto"/>
                <w:szCs w:val="18"/>
              </w:rPr>
            </w:pPr>
            <w:r>
              <w:rPr>
                <w:rFonts w:eastAsia="Yu Mincho"/>
                <w:color w:val="auto"/>
                <w:szCs w:val="18"/>
              </w:rPr>
              <w:t>See Section 6.2.8</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hint="eastAsia" w:eastAsia="Yu Mincho"/>
              </w:rPr>
              <w:t>U</w:t>
            </w:r>
            <w:r>
              <w:rPr>
                <w:rFonts w:eastAsia="Yu Mincho"/>
              </w:rPr>
              <w:t>E distribution</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Uniform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Evaluation metrics</w:t>
            </w:r>
          </w:p>
        </w:tc>
        <w:tc>
          <w:tcPr>
            <w:tcW w:w="1729" w:type="pct"/>
          </w:tcPr>
          <w:p>
            <w:pPr>
              <w:pStyle w:val="35"/>
              <w:overflowPunct w:val="0"/>
              <w:autoSpaceDE w:val="0"/>
              <w:autoSpaceDN w:val="0"/>
              <w:adjustRightInd w:val="0"/>
              <w:spacing w:after="180"/>
              <w:textAlignment w:val="baseline"/>
              <w:rPr>
                <w:rFonts w:eastAsia="Yu Mincho"/>
                <w:color w:val="000000"/>
                <w:szCs w:val="18"/>
              </w:rPr>
            </w:pPr>
            <w:r>
              <w:rPr>
                <w:rFonts w:eastAsia="Yu Mincho"/>
                <w:color w:val="000000"/>
                <w:szCs w:val="18"/>
              </w:rPr>
              <w:t xml:space="preserve">See Section 6.2.8 </w:t>
            </w:r>
          </w:p>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Throughtput or SNR loss criteria</w:t>
            </w:r>
          </w:p>
        </w:tc>
        <w:tc>
          <w:tcPr>
            <w:tcW w:w="1729" w:type="pct"/>
            <w:vAlign w:val="top"/>
          </w:tcPr>
          <w:p>
            <w:pPr>
              <w:pStyle w:val="35"/>
              <w:overflowPunct w:val="0"/>
              <w:autoSpaceDE w:val="0"/>
              <w:autoSpaceDN w:val="0"/>
              <w:adjustRightInd w:val="0"/>
              <w:spacing w:after="180"/>
              <w:textAlignment w:val="baseline"/>
              <w:rPr>
                <w:rFonts w:eastAsia="Yu Mincho"/>
                <w:color w:val="auto"/>
                <w:szCs w:val="18"/>
              </w:rPr>
            </w:pPr>
            <w:r>
              <w:rPr>
                <w:rFonts w:eastAsia="Yu Mincho"/>
                <w:color w:val="auto"/>
                <w:szCs w:val="18"/>
              </w:rPr>
              <w:t xml:space="preserve">See Section 6.2.8 </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Throughtput or SNR loss criteria</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-2: Deployment-related parameters of TN</w:t>
      </w: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2271"/>
        <w:gridCol w:w="2200"/>
        <w:gridCol w:w="3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18" w:type="pct"/>
            <w:vAlign w:val="center"/>
          </w:tcPr>
          <w:p>
            <w:pPr>
              <w:pStyle w:val="34"/>
              <w:overflowPunct w:val="0"/>
              <w:autoSpaceDE w:val="0"/>
              <w:autoSpaceDN w:val="0"/>
              <w:adjustRightInd w:val="0"/>
              <w:spacing w:after="180"/>
              <w:textAlignment w:val="baseline"/>
              <w:rPr>
                <w:rFonts w:eastAsia="Yu Mincho"/>
              </w:rPr>
            </w:pPr>
          </w:p>
        </w:tc>
        <w:tc>
          <w:tcPr>
            <w:tcW w:w="1140" w:type="pct"/>
            <w:vAlign w:val="center"/>
          </w:tcPr>
          <w:p>
            <w:pPr>
              <w:pStyle w:val="34"/>
              <w:overflowPunct w:val="0"/>
              <w:autoSpaceDE w:val="0"/>
              <w:autoSpaceDN w:val="0"/>
              <w:adjustRightInd w:val="0"/>
              <w:spacing w:after="180"/>
              <w:textAlignment w:val="baseline"/>
              <w:rPr>
                <w:rFonts w:hint="default" w:eastAsia="Yu Mincho"/>
                <w:lang w:val="en-US" w:eastAsia="zh-CN"/>
              </w:rPr>
            </w:pPr>
            <w:r>
              <w:rPr>
                <w:rFonts w:eastAsia="Yu Mincho"/>
              </w:rPr>
              <w:t>Urban Macro</w:t>
            </w:r>
            <w:r>
              <w:rPr>
                <w:rFonts w:hint="eastAsia" w:eastAsia="Yu Mincho"/>
                <w:lang w:val="en-US" w:eastAsia="zh-CN"/>
              </w:rPr>
              <w:t xml:space="preserve"> </w:t>
            </w:r>
          </w:p>
        </w:tc>
        <w:tc>
          <w:tcPr>
            <w:tcW w:w="1104" w:type="pct"/>
            <w:vAlign w:val="center"/>
          </w:tcPr>
          <w:p>
            <w:pPr>
              <w:pStyle w:val="34"/>
              <w:overflowPunct w:val="0"/>
              <w:autoSpaceDE w:val="0"/>
              <w:autoSpaceDN w:val="0"/>
              <w:adjustRightInd w:val="0"/>
              <w:spacing w:after="180"/>
              <w:textAlignment w:val="baseline"/>
              <w:rPr>
                <w:rFonts w:hint="default" w:eastAsia="宋体"/>
                <w:lang w:val="en-US" w:eastAsia="zh-CN"/>
              </w:rPr>
            </w:pPr>
            <w:r>
              <w:rPr>
                <w:rFonts w:eastAsia="Yu Mincho"/>
              </w:rPr>
              <w:t>Rural Macro</w:t>
            </w:r>
            <w:r>
              <w:rPr>
                <w:rFonts w:hint="eastAsia" w:eastAsia="宋体"/>
                <w:lang w:val="en-US" w:eastAsia="zh-CN"/>
              </w:rPr>
              <w:t xml:space="preserve"> </w:t>
            </w:r>
          </w:p>
        </w:tc>
        <w:tc>
          <w:tcPr>
            <w:tcW w:w="1838"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R</w:t>
            </w:r>
            <w:r>
              <w:rPr>
                <w:rFonts w:eastAsia="Yu Mincho"/>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hint="eastAsia" w:eastAsia="Yu Mincho"/>
              </w:rPr>
              <w:t>I</w:t>
            </w:r>
            <w:r>
              <w:rPr>
                <w:rFonts w:eastAsia="Yu Mincho"/>
              </w:rPr>
              <w:t>SD in meters</w:t>
            </w:r>
          </w:p>
        </w:tc>
        <w:tc>
          <w:tcPr>
            <w:tcW w:w="1140" w:type="pct"/>
            <w:vAlign w:val="center"/>
          </w:tcPr>
          <w:p>
            <w:pPr>
              <w:pStyle w:val="34"/>
              <w:overflowPunct w:val="0"/>
              <w:autoSpaceDE w:val="0"/>
              <w:autoSpaceDN w:val="0"/>
              <w:adjustRightInd w:val="0"/>
              <w:spacing w:after="180"/>
              <w:textAlignment w:val="baseline"/>
              <w:rPr>
                <w:rFonts w:hint="default" w:eastAsia="Yu Mincho"/>
                <w:b w:val="0"/>
                <w:bCs/>
                <w:lang w:val="en-US" w:eastAsia="zh-CN"/>
              </w:rPr>
            </w:pPr>
            <w:r>
              <w:rPr>
                <w:rFonts w:hint="eastAsia" w:eastAsia="Yu Mincho"/>
                <w:b w:val="0"/>
                <w:bCs/>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eastAsia="Yu Mincho"/>
              </w:rPr>
              <w:t>7500</w:t>
            </w:r>
          </w:p>
        </w:tc>
        <w:tc>
          <w:tcPr>
            <w:tcW w:w="1838" w:type="pct"/>
            <w:vMerge w:val="restart"/>
            <w:vAlign w:val="center"/>
          </w:tcPr>
          <w:p>
            <w:pPr>
              <w:pStyle w:val="36"/>
              <w:overflowPunct w:val="0"/>
              <w:autoSpaceDE w:val="0"/>
              <w:autoSpaceDN w:val="0"/>
              <w:adjustRightInd w:val="0"/>
              <w:spacing w:after="180"/>
              <w:textAlignment w:val="baseline"/>
              <w:rPr>
                <w:rFonts w:eastAsia="Yu Mincho"/>
              </w:rPr>
            </w:pPr>
            <w:r>
              <w:rPr>
                <w:rFonts w:hint="eastAsia" w:eastAsia="Yu Mincho"/>
              </w:rPr>
              <w:t>I</w:t>
            </w:r>
            <w:r>
              <w:rPr>
                <w:rFonts w:eastAsia="Yu Mincho"/>
              </w:rPr>
              <w:t>TU-R Report M.2292[11]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BS Antenna height in meters</w:t>
            </w:r>
          </w:p>
        </w:tc>
        <w:tc>
          <w:tcPr>
            <w:tcW w:w="1140" w:type="pct"/>
            <w:vAlign w:val="center"/>
          </w:tcPr>
          <w:p>
            <w:pPr>
              <w:pStyle w:val="34"/>
              <w:overflowPunct w:val="0"/>
              <w:autoSpaceDE w:val="0"/>
              <w:autoSpaceDN w:val="0"/>
              <w:adjustRightInd w:val="0"/>
              <w:spacing w:after="180"/>
              <w:textAlignment w:val="baseline"/>
              <w:rPr>
                <w:rFonts w:hint="default" w:eastAsia="Yu Mincho"/>
                <w:b w:val="0"/>
                <w:bCs/>
                <w:lang w:val="en-US" w:eastAsia="zh-CN"/>
              </w:rPr>
            </w:pPr>
            <w:r>
              <w:rPr>
                <w:rFonts w:hint="eastAsia" w:eastAsia="Yu Mincho"/>
                <w:b w:val="0"/>
                <w:bCs/>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hint="eastAsia" w:eastAsia="Yu Mincho"/>
              </w:rPr>
              <w:t>3</w:t>
            </w:r>
            <w:r>
              <w:rPr>
                <w:rFonts w:eastAsia="Yu Mincho"/>
              </w:rPr>
              <w:t>0</w:t>
            </w:r>
          </w:p>
        </w:tc>
        <w:tc>
          <w:tcPr>
            <w:tcW w:w="1838" w:type="pct"/>
            <w:vMerge w:val="continue"/>
            <w:vAlign w:val="center"/>
          </w:tcPr>
          <w:p>
            <w:pPr>
              <w:pStyle w:val="36"/>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UE Outdoor/indoor</w:t>
            </w:r>
          </w:p>
        </w:tc>
        <w:tc>
          <w:tcPr>
            <w:tcW w:w="2244" w:type="pct"/>
            <w:gridSpan w:val="2"/>
            <w:vAlign w:val="center"/>
          </w:tcPr>
          <w:p>
            <w:pPr>
              <w:pStyle w:val="35"/>
              <w:overflowPunct w:val="0"/>
              <w:autoSpaceDE w:val="0"/>
              <w:autoSpaceDN w:val="0"/>
              <w:adjustRightInd w:val="0"/>
              <w:spacing w:after="180"/>
              <w:textAlignment w:val="baseline"/>
              <w:rPr>
                <w:rFonts w:eastAsia="Yu Mincho"/>
              </w:rPr>
            </w:pPr>
            <w:r>
              <w:rPr>
                <w:rFonts w:eastAsia="Yu Mincho"/>
              </w:rPr>
              <w:t>100% Outdoor</w:t>
            </w:r>
          </w:p>
        </w:tc>
        <w:tc>
          <w:tcPr>
            <w:tcW w:w="1838" w:type="pct"/>
            <w:vAlign w:val="center"/>
          </w:tcPr>
          <w:p>
            <w:pPr>
              <w:pStyle w:val="36"/>
              <w:overflowPunct w:val="0"/>
              <w:autoSpaceDE w:val="0"/>
              <w:autoSpaceDN w:val="0"/>
              <w:adjustRightInd w:val="0"/>
              <w:spacing w:after="180"/>
              <w:textAlignment w:val="baseline"/>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UE height in meter</w:t>
            </w:r>
          </w:p>
        </w:tc>
        <w:tc>
          <w:tcPr>
            <w:tcW w:w="1140" w:type="pct"/>
            <w:vAlign w:val="center"/>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eastAsia="Yu Mincho"/>
              </w:rPr>
              <w:t>1.5</w:t>
            </w:r>
          </w:p>
        </w:tc>
        <w:tc>
          <w:tcPr>
            <w:tcW w:w="1838" w:type="pct"/>
            <w:vAlign w:val="center"/>
          </w:tcPr>
          <w:p>
            <w:pPr>
              <w:pStyle w:val="36"/>
              <w:overflowPunct w:val="0"/>
              <w:autoSpaceDE w:val="0"/>
              <w:autoSpaceDN w:val="0"/>
              <w:adjustRightInd w:val="0"/>
              <w:spacing w:after="180"/>
              <w:textAlignment w:val="baseline"/>
              <w:rPr>
                <w:rFonts w:eastAsia="Yu Mincho"/>
              </w:rPr>
            </w:pPr>
            <w:r>
              <w:rPr>
                <w:rFonts w:eastAsia="Yu Mincho"/>
              </w:rPr>
              <w:t xml:space="preserve">RP-200559 [12] </w:t>
            </w:r>
            <w:r>
              <w:rPr>
                <w:rFonts w:hint="eastAsia" w:eastAsia="Yu Mincho"/>
              </w:rPr>
              <w:t>3</w:t>
            </w:r>
            <w:r>
              <w:rPr>
                <w:rFonts w:eastAsia="Yu Mincho"/>
              </w:rPr>
              <w:t>GPP LS to ITU-R WP5D and</w:t>
            </w:r>
            <w:r>
              <w:rPr>
                <w:rFonts w:hint="eastAsia" w:eastAsia="宋体"/>
                <w:lang w:val="en-US" w:eastAsia="zh-CN"/>
              </w:rPr>
              <w:t xml:space="preserve"> </w:t>
            </w:r>
            <w:r>
              <w:rPr>
                <w:rFonts w:eastAsia="Yu Mincho"/>
              </w:rPr>
              <w:t>ITU-R WP5D</w:t>
            </w:r>
          </w:p>
          <w:p>
            <w:pPr>
              <w:pStyle w:val="36"/>
              <w:overflowPunct w:val="0"/>
              <w:autoSpaceDE w:val="0"/>
              <w:autoSpaceDN w:val="0"/>
              <w:adjustRightInd w:val="0"/>
              <w:spacing w:after="180"/>
              <w:textAlignment w:val="baseline"/>
              <w:rPr>
                <w:rFonts w:eastAsia="Yu Mincho"/>
              </w:rPr>
            </w:pPr>
            <w:r>
              <w:rPr>
                <w:rFonts w:eastAsia="Yu Mincho"/>
              </w:rPr>
              <w:t>[IMT_</w:t>
            </w:r>
            <w:r>
              <w:rPr>
                <w:rFonts w:hint="eastAsia" w:eastAsia="Yu Mincho"/>
              </w:rPr>
              <w:t>Par</w:t>
            </w:r>
            <w:r>
              <w:rPr>
                <w:rFonts w:eastAsia="Yu Mincho"/>
              </w:rPr>
              <w:t>ameters] [13]</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 xml:space="preserve">-3: ACLR/ACS for TN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pStyle w:val="34"/>
            </w:pPr>
          </w:p>
        </w:tc>
        <w:tc>
          <w:tcPr>
            <w:tcW w:w="2610" w:type="dxa"/>
            <w:shd w:val="clear" w:color="auto" w:fill="auto"/>
          </w:tcPr>
          <w:p>
            <w:pPr>
              <w:pStyle w:val="34"/>
            </w:pPr>
            <w:r>
              <w:rPr>
                <w:rFonts w:hint="eastAsia"/>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5"/>
            </w:pPr>
            <w:r>
              <w:t>BS</w:t>
            </w:r>
          </w:p>
        </w:tc>
        <w:tc>
          <w:tcPr>
            <w:tcW w:w="1350" w:type="dxa"/>
            <w:shd w:val="clear" w:color="auto" w:fill="auto"/>
            <w:vAlign w:val="center"/>
          </w:tcPr>
          <w:p>
            <w:pPr>
              <w:pStyle w:val="35"/>
            </w:pPr>
            <w:r>
              <w:t>ACLR</w:t>
            </w:r>
          </w:p>
        </w:tc>
        <w:tc>
          <w:tcPr>
            <w:tcW w:w="2610" w:type="dxa"/>
            <w:shd w:val="clear" w:color="auto" w:fill="auto"/>
          </w:tcPr>
          <w:p>
            <w:pPr>
              <w:pStyle w:val="35"/>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5"/>
            </w:pPr>
          </w:p>
        </w:tc>
        <w:tc>
          <w:tcPr>
            <w:tcW w:w="1350" w:type="dxa"/>
            <w:shd w:val="clear" w:color="auto" w:fill="auto"/>
            <w:vAlign w:val="center"/>
          </w:tcPr>
          <w:p>
            <w:pPr>
              <w:pStyle w:val="35"/>
            </w:pPr>
            <w:r>
              <w:t>ACS</w:t>
            </w:r>
          </w:p>
        </w:tc>
        <w:tc>
          <w:tcPr>
            <w:tcW w:w="2610" w:type="dxa"/>
            <w:shd w:val="clear" w:color="auto" w:fill="auto"/>
          </w:tcPr>
          <w:p>
            <w:pPr>
              <w:pStyle w:val="35"/>
            </w:pPr>
            <w:r>
              <w:t>46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5"/>
            </w:pPr>
            <w:r>
              <w:t>UE</w:t>
            </w:r>
          </w:p>
        </w:tc>
        <w:tc>
          <w:tcPr>
            <w:tcW w:w="1350" w:type="dxa"/>
            <w:shd w:val="clear" w:color="auto" w:fill="auto"/>
            <w:vAlign w:val="center"/>
          </w:tcPr>
          <w:p>
            <w:pPr>
              <w:pStyle w:val="35"/>
            </w:pPr>
            <w:r>
              <w:t>ACLR</w:t>
            </w:r>
          </w:p>
        </w:tc>
        <w:tc>
          <w:tcPr>
            <w:tcW w:w="2610" w:type="dxa"/>
            <w:shd w:val="clear" w:color="auto" w:fill="auto"/>
          </w:tcPr>
          <w:p>
            <w:pPr>
              <w:pStyle w:val="35"/>
            </w:pPr>
            <w:r>
              <w:t>30dB (ACLR1)</w:t>
            </w:r>
          </w:p>
          <w:p>
            <w:pPr>
              <w:pStyle w:val="35"/>
            </w:pPr>
            <w:r>
              <w:t>43dB (ACLR2)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5"/>
            </w:pPr>
          </w:p>
        </w:tc>
        <w:tc>
          <w:tcPr>
            <w:tcW w:w="1350" w:type="dxa"/>
            <w:shd w:val="clear" w:color="auto" w:fill="auto"/>
            <w:vAlign w:val="center"/>
          </w:tcPr>
          <w:p>
            <w:pPr>
              <w:pStyle w:val="35"/>
            </w:pPr>
            <w:r>
              <w:t>ACS</w:t>
            </w:r>
          </w:p>
        </w:tc>
        <w:tc>
          <w:tcPr>
            <w:tcW w:w="2610" w:type="dxa"/>
            <w:shd w:val="clear" w:color="auto" w:fill="auto"/>
          </w:tcPr>
          <w:p>
            <w:pPr>
              <w:pStyle w:val="35"/>
            </w:pPr>
            <w:r>
              <w:t>33</w:t>
            </w:r>
          </w:p>
        </w:tc>
      </w:tr>
    </w:tbl>
    <w:p>
      <w:pPr>
        <w:rPr>
          <w:lang w:eastAsia="zh-CN"/>
        </w:rPr>
      </w:pPr>
    </w:p>
    <w:p>
      <w:pPr>
        <w:spacing w:after="120"/>
        <w:rPr>
          <w:rFonts w:hint="default" w:eastAsia="宋体"/>
          <w:lang w:val="en-US" w:eastAsia="zh-CN"/>
        </w:rPr>
      </w:pPr>
      <w:r>
        <w:rPr>
          <w:rFonts w:hint="eastAsia" w:eastAsia="宋体"/>
          <w:lang w:val="en-US" w:eastAsia="zh-CN"/>
        </w:rPr>
        <w:t>As shown in the following figure</w:t>
      </w:r>
      <w:r>
        <w:rPr>
          <w:rFonts w:hint="eastAsia"/>
          <w:lang w:val="en-US" w:eastAsia="zh-CN"/>
        </w:rPr>
        <w:t xml:space="preserve"> 2.3.3-1</w:t>
      </w:r>
      <w:r>
        <w:rPr>
          <w:rFonts w:hint="eastAsia" w:eastAsia="宋体"/>
          <w:lang w:val="en-US" w:eastAsia="zh-CN"/>
        </w:rPr>
        <w:t xml:space="preserve">, </w:t>
      </w:r>
      <w:r>
        <w:rPr>
          <w:rFonts w:hint="eastAsia"/>
          <w:lang w:val="en-US" w:eastAsia="zh-CN"/>
        </w:rPr>
        <w:t xml:space="preserve">since ISD of ATG BS is relatively large and only one ATG CPE is active in one time. Therefore we only need to consider the TN BS around ATG BS as shown in the following Figure. </w:t>
      </w:r>
    </w:p>
    <w:p>
      <w:pPr>
        <w:rPr>
          <w:lang w:eastAsia="zh-CN"/>
        </w:rPr>
      </w:pPr>
    </w:p>
    <w:p>
      <w:pPr>
        <w:pStyle w:val="40"/>
        <w:ind w:left="0" w:leftChars="0" w:firstLine="0" w:firstLineChars="0"/>
        <w:jc w:val="center"/>
      </w:pPr>
      <w:r>
        <w:drawing>
          <wp:inline distT="0" distB="0" distL="114300" distR="114300">
            <wp:extent cx="5270500" cy="3642995"/>
            <wp:effectExtent l="0" t="0" r="6350" b="146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5270500" cy="3642995"/>
                    </a:xfrm>
                    <a:prstGeom prst="rect">
                      <a:avLst/>
                    </a:prstGeom>
                    <a:noFill/>
                    <a:ln>
                      <a:noFill/>
                    </a:ln>
                  </pic:spPr>
                </pic:pic>
              </a:graphicData>
            </a:graphic>
          </wp:inline>
        </w:drawing>
      </w:r>
    </w:p>
    <w:p>
      <w:pPr>
        <w:pStyle w:val="44"/>
        <w:rPr>
          <w:rFonts w:hint="default" w:ascii="Times New Roman" w:hAnsi="Times New Roman" w:eastAsia="宋体" w:cs="Times New Roman"/>
          <w:b/>
          <w:bCs/>
          <w:kern w:val="2"/>
          <w:sz w:val="20"/>
          <w:szCs w:val="22"/>
          <w:lang w:val="en-US" w:eastAsia="zh-CN" w:bidi="ar-SA"/>
        </w:rPr>
      </w:pPr>
      <w:r>
        <w:rPr>
          <w:rFonts w:hint="eastAsia" w:ascii="Times New Roman" w:hAnsi="Times New Roman" w:eastAsia="宋体" w:cs="Times New Roman"/>
          <w:b/>
          <w:bCs/>
          <w:kern w:val="2"/>
          <w:sz w:val="20"/>
          <w:szCs w:val="22"/>
          <w:lang w:val="en-US" w:eastAsia="zh-CN" w:bidi="ar-SA"/>
        </w:rPr>
        <w:t>Figure 2.3.3-1. ATG network coexisting with terrestrial network [Rural area]</w:t>
      </w:r>
    </w:p>
    <w:p>
      <w:pPr>
        <w:rPr>
          <w:lang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2.2.</w:t>
      </w:r>
      <w:r>
        <w:rPr>
          <w:rFonts w:hint="eastAsia" w:cs="Arial"/>
          <w:b w:val="0"/>
          <w:bCs w:val="0"/>
          <w:lang w:val="en-US" w:eastAsia="zh-CN"/>
        </w:rPr>
        <w:t>4</w:t>
      </w:r>
      <w:r>
        <w:rPr>
          <w:rFonts w:cs="Arial"/>
          <w:b w:val="0"/>
          <w:bCs w:val="0"/>
        </w:rPr>
        <w:tab/>
      </w:r>
      <w:r>
        <w:rPr>
          <w:rFonts w:cs="Arial"/>
          <w:b w:val="0"/>
          <w:bCs w:val="0"/>
        </w:rPr>
        <w:t>TN</w:t>
      </w:r>
      <w:r>
        <w:rPr>
          <w:rFonts w:hint="eastAsia" w:cs="Arial"/>
          <w:b w:val="0"/>
          <w:bCs w:val="0"/>
          <w:lang w:val="en-US" w:eastAsia="zh-CN"/>
        </w:rPr>
        <w:t xml:space="preserve"> UE</w:t>
      </w:r>
      <w:r>
        <w:rPr>
          <w:rFonts w:cs="Arial"/>
          <w:b w:val="0"/>
          <w:bCs w:val="0"/>
        </w:rPr>
        <w:t xml:space="preserve"> parameters</w:t>
      </w:r>
    </w:p>
    <w:p>
      <w:pPr>
        <w:snapToGrid w:val="0"/>
        <w:rPr>
          <w:rFonts w:eastAsia="等线"/>
          <w:b/>
          <w:sz w:val="18"/>
          <w:szCs w:val="15"/>
          <w:u w:val="single"/>
        </w:rPr>
      </w:pPr>
      <w:r>
        <w:rPr>
          <w:rFonts w:hint="eastAsia" w:eastAsia="宋体"/>
          <w:lang w:val="en-US" w:eastAsia="zh-CN"/>
        </w:rPr>
        <w:t>TN</w:t>
      </w:r>
      <w:r>
        <w:rPr>
          <w:rFonts w:eastAsia="宋体"/>
        </w:rPr>
        <w:t xml:space="preserve"> UE parameters are given </w:t>
      </w:r>
      <w:r>
        <w:rPr>
          <w:rFonts w:hint="eastAsia" w:eastAsia="宋体"/>
        </w:rPr>
        <w:t xml:space="preserve">in Table </w:t>
      </w:r>
      <w:r>
        <w:rPr>
          <w:rFonts w:eastAsia="宋体"/>
        </w:rPr>
        <w:t>2.2.</w:t>
      </w:r>
      <w:r>
        <w:rPr>
          <w:rFonts w:hint="eastAsia" w:eastAsia="宋体"/>
          <w:lang w:val="en-US" w:eastAsia="zh-CN"/>
        </w:rPr>
        <w:t>4</w:t>
      </w:r>
      <w:r>
        <w:rPr>
          <w:rFonts w:hint="eastAsia" w:eastAsia="宋体"/>
        </w:rPr>
        <w:t>-</w:t>
      </w:r>
      <w:r>
        <w:rPr>
          <w:rFonts w:eastAsia="宋体"/>
        </w:rPr>
        <w:t>1</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2.2.</w:t>
      </w:r>
      <w:r>
        <w:rPr>
          <w:rFonts w:hint="eastAsia" w:ascii="Times New Roman" w:hAnsi="Times New Roman" w:eastAsia="宋体" w:cs="Times New Roman"/>
          <w:b/>
          <w:bCs/>
          <w:kern w:val="2"/>
          <w:sz w:val="20"/>
          <w:szCs w:val="22"/>
          <w:lang w:val="en-US" w:eastAsia="zh-CN" w:bidi="ar-SA"/>
        </w:rPr>
        <w:t>4</w:t>
      </w:r>
      <w:r>
        <w:rPr>
          <w:rFonts w:hint="eastAsia" w:ascii="Times New Roman" w:hAnsi="Times New Roman" w:eastAsia="宋体" w:cs="Times New Roman"/>
          <w:b/>
          <w:bCs/>
          <w:kern w:val="2"/>
          <w:sz w:val="20"/>
          <w:szCs w:val="22"/>
          <w:lang w:val="zh-CN" w:eastAsia="zh-CN" w:bidi="ar-SA"/>
        </w:rPr>
        <w:t xml:space="preserve">-1: </w:t>
      </w:r>
      <w:r>
        <w:rPr>
          <w:rFonts w:hint="eastAsia" w:ascii="Times New Roman" w:hAnsi="Times New Roman" w:eastAsia="宋体" w:cs="Times New Roman"/>
          <w:b/>
          <w:bCs/>
          <w:kern w:val="2"/>
          <w:sz w:val="20"/>
          <w:szCs w:val="22"/>
          <w:lang w:val="en-US" w:eastAsia="zh-CN" w:bidi="ar-SA"/>
        </w:rPr>
        <w:t xml:space="preserve">TN </w:t>
      </w:r>
      <w:r>
        <w:rPr>
          <w:rFonts w:hint="eastAsia" w:ascii="Times New Roman" w:hAnsi="Times New Roman" w:eastAsia="宋体" w:cs="Times New Roman"/>
          <w:b/>
          <w:bCs/>
          <w:kern w:val="2"/>
          <w:sz w:val="20"/>
          <w:szCs w:val="22"/>
          <w:lang w:val="zh-CN" w:eastAsia="zh-CN" w:bidi="ar-SA"/>
        </w:rPr>
        <w:t>UE characteristics for system level simulations</w:t>
      </w:r>
    </w:p>
    <w:tbl>
      <w:tblPr>
        <w:tblStyle w:val="23"/>
        <w:tblW w:w="31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4"/>
            </w:pPr>
            <w:r>
              <w:t>Characteristics</w:t>
            </w:r>
          </w:p>
        </w:tc>
        <w:tc>
          <w:tcPr>
            <w:tcW w:w="2834" w:type="pct"/>
            <w:shd w:val="clear" w:color="auto" w:fill="auto"/>
          </w:tcPr>
          <w:p>
            <w:pPr>
              <w:pStyle w:val="34"/>
              <w:jc w:val="center"/>
              <w:rPr>
                <w:rFonts w:hint="default" w:eastAsiaTheme="minorEastAsia"/>
                <w:lang w:val="en-US" w:eastAsia="zh-CN"/>
              </w:rPr>
            </w:pPr>
            <w:r>
              <w:rPr>
                <w:rFonts w:hint="eastAsia"/>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pPr>
            <w:r>
              <w:t>Frequency band</w:t>
            </w:r>
          </w:p>
        </w:tc>
        <w:tc>
          <w:tcPr>
            <w:tcW w:w="2834" w:type="pct"/>
            <w:shd w:val="clear" w:color="auto" w:fill="auto"/>
          </w:tcPr>
          <w:p>
            <w:pPr>
              <w:pStyle w:val="36"/>
              <w:rPr>
                <w:rFonts w:hint="default" w:eastAsiaTheme="minorEastAsia"/>
                <w:lang w:val="en-US" w:eastAsia="zh-CN"/>
              </w:rPr>
            </w:pPr>
            <w:r>
              <w:rPr>
                <w:rFonts w:hint="eastAsia"/>
                <w:lang w:val="en-US" w:eastAsia="zh-CN"/>
              </w:rPr>
              <w:t>2.1GHz, 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Antenna type and configuration</w:t>
            </w:r>
          </w:p>
        </w:tc>
        <w:tc>
          <w:tcPr>
            <w:tcW w:w="3081" w:type="dxa"/>
            <w:shd w:val="clear" w:color="auto" w:fill="auto"/>
            <w:vAlign w:val="top"/>
          </w:tcPr>
          <w:p>
            <w:pPr>
              <w:pStyle w:val="36"/>
              <w:rPr>
                <w:color w:val="auto"/>
              </w:rPr>
            </w:pPr>
            <w:r>
              <w:rPr>
                <w:color w:val="auto"/>
              </w:rPr>
              <w:t>(1, 1, 2)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Polarisation</w:t>
            </w:r>
          </w:p>
        </w:tc>
        <w:tc>
          <w:tcPr>
            <w:tcW w:w="3081" w:type="dxa"/>
            <w:shd w:val="clear" w:color="auto" w:fill="auto"/>
            <w:vAlign w:val="top"/>
          </w:tcPr>
          <w:p>
            <w:pPr>
              <w:pStyle w:val="36"/>
              <w:rPr>
                <w:color w:val="auto"/>
              </w:rPr>
            </w:pPr>
            <w:r>
              <w:rPr>
                <w:color w:val="auto"/>
              </w:rP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 xml:space="preserve">Rx Antenna gain </w:t>
            </w:r>
          </w:p>
        </w:tc>
        <w:tc>
          <w:tcPr>
            <w:tcW w:w="3081" w:type="dxa"/>
            <w:shd w:val="clear" w:color="auto" w:fill="auto"/>
            <w:vAlign w:val="top"/>
          </w:tcPr>
          <w:p>
            <w:pPr>
              <w:pStyle w:val="36"/>
              <w:rPr>
                <w:color w:val="auto"/>
              </w:rPr>
            </w:pPr>
            <w:r>
              <w:rPr>
                <w:color w:val="auto"/>
              </w:rP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Antenna temperature</w:t>
            </w:r>
          </w:p>
        </w:tc>
        <w:tc>
          <w:tcPr>
            <w:tcW w:w="3081" w:type="dxa"/>
            <w:shd w:val="clear" w:color="auto" w:fill="auto"/>
            <w:vAlign w:val="top"/>
          </w:tcPr>
          <w:p>
            <w:pPr>
              <w:pStyle w:val="36"/>
              <w:rPr>
                <w:color w:val="auto"/>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Noise figure</w:t>
            </w:r>
          </w:p>
        </w:tc>
        <w:tc>
          <w:tcPr>
            <w:tcW w:w="3081" w:type="dxa"/>
            <w:shd w:val="clear" w:color="auto" w:fill="auto"/>
            <w:vAlign w:val="top"/>
          </w:tcPr>
          <w:p>
            <w:pPr>
              <w:pStyle w:val="36"/>
              <w:rPr>
                <w:color w:val="auto"/>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Tx transmit power</w:t>
            </w:r>
          </w:p>
        </w:tc>
        <w:tc>
          <w:tcPr>
            <w:tcW w:w="3081" w:type="dxa"/>
            <w:shd w:val="clear" w:color="auto" w:fill="auto"/>
            <w:vAlign w:val="top"/>
          </w:tcPr>
          <w:p>
            <w:pPr>
              <w:pStyle w:val="36"/>
              <w:rPr>
                <w:rFonts w:hint="default" w:eastAsiaTheme="minorEastAsia"/>
                <w:color w:val="auto"/>
                <w:lang w:val="en-US" w:eastAsia="zh-CN"/>
              </w:rPr>
            </w:pPr>
            <w:r>
              <w:rPr>
                <w:color w:val="auto"/>
              </w:rPr>
              <w:t>200 mW (23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Tx antenna gain</w:t>
            </w:r>
          </w:p>
        </w:tc>
        <w:tc>
          <w:tcPr>
            <w:tcW w:w="3081" w:type="dxa"/>
            <w:shd w:val="clear" w:color="auto" w:fill="auto"/>
            <w:vAlign w:val="top"/>
          </w:tcPr>
          <w:p>
            <w:pPr>
              <w:pStyle w:val="36"/>
              <w:rPr>
                <w:rFonts w:hint="default" w:eastAsiaTheme="minorEastAsia"/>
                <w:color w:val="auto"/>
                <w:lang w:val="en-US" w:eastAsia="zh-CN"/>
              </w:rPr>
            </w:pPr>
            <w:r>
              <w:rPr>
                <w:color w:val="auto"/>
              </w:rPr>
              <w:t>0 dBi per element</w:t>
            </w:r>
          </w:p>
        </w:tc>
      </w:tr>
    </w:tbl>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21" w:name="_Toc94170348"/>
      <w:bookmarkStart w:id="22" w:name="_Toc104210158"/>
      <w:bookmarkStart w:id="23" w:name="_Toc104122352"/>
      <w:bookmarkStart w:id="24" w:name="_Toc104502870"/>
      <w:r>
        <w:rPr>
          <w:rFonts w:hint="eastAsia" w:ascii="Arial" w:hAnsi="Arial" w:cs="Arial"/>
          <w:sz w:val="28"/>
          <w:szCs w:val="28"/>
          <w:lang w:val="en-US" w:eastAsia="zh-CN"/>
        </w:rPr>
        <w:t>2.3.  Antenna and beamforming pattern modelling</w:t>
      </w:r>
      <w:bookmarkEnd w:id="21"/>
      <w:bookmarkEnd w:id="22"/>
      <w:bookmarkEnd w:id="23"/>
      <w:bookmarkEnd w:id="24"/>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25" w:name="_Toc94170350"/>
      <w:bookmarkStart w:id="26" w:name="_Toc104122354"/>
      <w:bookmarkStart w:id="27" w:name="_Toc87889249"/>
      <w:bookmarkStart w:id="28" w:name="_Toc104502872"/>
      <w:bookmarkStart w:id="29" w:name="_Toc104210160"/>
      <w:r>
        <w:rPr>
          <w:rFonts w:cs="Arial"/>
          <w:b w:val="0"/>
          <w:bCs w:val="0"/>
        </w:rPr>
        <w:t>2.3.</w:t>
      </w:r>
      <w:r>
        <w:rPr>
          <w:rFonts w:hint="eastAsia" w:cs="Arial"/>
          <w:b w:val="0"/>
          <w:bCs w:val="0"/>
          <w:lang w:val="en-US" w:eastAsia="zh-CN"/>
        </w:rPr>
        <w:t>1</w:t>
      </w:r>
      <w:r>
        <w:rPr>
          <w:rFonts w:cs="Arial"/>
          <w:b w:val="0"/>
          <w:bCs w:val="0"/>
        </w:rPr>
        <w:tab/>
      </w:r>
      <w:r>
        <w:rPr>
          <w:rFonts w:hint="eastAsia" w:cs="Arial"/>
          <w:b w:val="0"/>
          <w:bCs w:val="0"/>
          <w:lang w:val="en-US" w:eastAsia="zh-CN"/>
        </w:rPr>
        <w:t>ATG BS</w:t>
      </w:r>
      <w:r>
        <w:rPr>
          <w:rFonts w:cs="Arial"/>
          <w:b w:val="0"/>
          <w:bCs w:val="0"/>
        </w:rPr>
        <w:t xml:space="preserve"> and UE antenna and beam forming pattern modelling</w:t>
      </w:r>
    </w:p>
    <w:p>
      <w:pPr>
        <w:spacing w:after="120"/>
        <w:rPr>
          <w:rFonts w:eastAsia="等线"/>
        </w:rPr>
      </w:pPr>
      <w:r>
        <w:rPr>
          <w:rFonts w:eastAsia="宋体"/>
        </w:rPr>
        <w:t>For AAS antenna</w:t>
      </w:r>
      <w:r>
        <w:rPr>
          <w:rFonts w:hint="eastAsia" w:eastAsia="宋体"/>
          <w:lang w:val="en-US" w:eastAsia="zh-CN"/>
        </w:rPr>
        <w:t xml:space="preserve"> for ATG BS</w:t>
      </w:r>
      <w:r>
        <w:rPr>
          <w:rFonts w:eastAsia="宋体"/>
        </w:rPr>
        <w:t xml:space="preserve">, </w:t>
      </w:r>
      <w:r>
        <w:rPr>
          <w:rFonts w:hint="eastAsia" w:eastAsia="宋体"/>
        </w:rPr>
        <w:t>it</w:t>
      </w:r>
      <w:r>
        <w:rPr>
          <w:rFonts w:eastAsia="等线"/>
        </w:rPr>
        <w:t xml:space="preserve"> refer</w:t>
      </w:r>
      <w:r>
        <w:rPr>
          <w:rFonts w:hint="eastAsia" w:eastAsia="等线"/>
        </w:rPr>
        <w:t>s</w:t>
      </w:r>
      <w:r>
        <w:rPr>
          <w:rFonts w:eastAsia="等线"/>
        </w:rPr>
        <w:t xml:space="preserve"> to the pattern in TR 38.921</w:t>
      </w:r>
      <w:r>
        <w:rPr>
          <w:rFonts w:hint="eastAsia" w:eastAsia="等线"/>
        </w:rPr>
        <w:t>.</w:t>
      </w:r>
    </w:p>
    <w:p>
      <w:pPr>
        <w:pStyle w:val="44"/>
        <w:rPr>
          <w:rFonts w:hint="default" w:ascii="Times New Roman" w:hAnsi="Times New Roman" w:eastAsia="宋体" w:cs="Times New Roman"/>
          <w:b/>
          <w:bCs/>
          <w:kern w:val="2"/>
          <w:sz w:val="20"/>
          <w:szCs w:val="22"/>
          <w:lang w:val="en-US" w:eastAsia="zh-CN" w:bidi="ar-SA"/>
        </w:rPr>
      </w:pPr>
      <w:r>
        <w:rPr>
          <w:rFonts w:hint="eastAsia" w:ascii="Times New Roman" w:hAnsi="Times New Roman" w:eastAsia="宋体" w:cs="Times New Roman"/>
          <w:b/>
          <w:bCs/>
          <w:kern w:val="2"/>
          <w:sz w:val="20"/>
          <w:szCs w:val="22"/>
          <w:lang w:val="zh-CN" w:eastAsia="zh-CN" w:bidi="ar-SA"/>
        </w:rPr>
        <w:t>Table 2.3.</w:t>
      </w:r>
      <w:r>
        <w:rPr>
          <w:rFonts w:hint="eastAsia" w:ascii="Times New Roman" w:hAnsi="Times New Roman" w:cs="Times New Roman"/>
          <w:b/>
          <w:bCs/>
          <w:kern w:val="2"/>
          <w:sz w:val="20"/>
          <w:szCs w:val="22"/>
          <w:lang w:val="en-US" w:eastAsia="zh-CN" w:bidi="ar-SA"/>
        </w:rPr>
        <w:t>1</w:t>
      </w:r>
      <w:r>
        <w:rPr>
          <w:rFonts w:hint="eastAsia" w:ascii="Times New Roman" w:hAnsi="Times New Roman" w:eastAsia="宋体" w:cs="Times New Roman"/>
          <w:b/>
          <w:bCs/>
          <w:kern w:val="2"/>
          <w:sz w:val="20"/>
          <w:szCs w:val="22"/>
          <w:lang w:val="zh-CN" w:eastAsia="zh-CN" w:bidi="ar-SA"/>
        </w:rPr>
        <w:t xml:space="preserve">-1: AAS antenna parameters for </w:t>
      </w:r>
      <w:r>
        <w:rPr>
          <w:rFonts w:hint="eastAsia" w:ascii="Times New Roman" w:hAnsi="Times New Roman" w:eastAsia="宋体" w:cs="Times New Roman"/>
          <w:b/>
          <w:bCs/>
          <w:kern w:val="2"/>
          <w:sz w:val="20"/>
          <w:szCs w:val="22"/>
          <w:lang w:val="en-US" w:eastAsia="zh-CN" w:bidi="ar-SA"/>
        </w:rPr>
        <w:t>ATG BS at 2.1GHz, 3.5GHz and 4.9GHz</w:t>
      </w:r>
    </w:p>
    <w:tbl>
      <w:tblPr>
        <w:tblStyle w:val="23"/>
        <w:tblW w:w="4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54"/>
        <w:gridCol w:w="2320"/>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70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440" w:type="pct"/>
            <w:tcBorders>
              <w:top w:val="single" w:color="auto" w:sz="4" w:space="0"/>
              <w:left w:val="single" w:color="auto" w:sz="4" w:space="0"/>
              <w:bottom w:val="single" w:color="auto" w:sz="4" w:space="0"/>
              <w:right w:val="single" w:color="auto" w:sz="4" w:space="0"/>
            </w:tcBorders>
            <w:vAlign w:val="center"/>
          </w:tcPr>
          <w:p>
            <w:pPr>
              <w:pStyle w:val="34"/>
            </w:pPr>
            <w:r>
              <w:t>Rural</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w:t>
            </w:r>
          </w:p>
        </w:tc>
        <w:tc>
          <w:tcPr>
            <w:tcW w:w="45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rPr>
                <w:rFonts w:hint="eastAsia"/>
                <w:lang w:val="en-US" w:eastAsia="zh-CN"/>
              </w:rPr>
              <w:t xml:space="preserve">ATG BS </w:t>
            </w:r>
            <w:r>
              <w:t>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Antenna pattern</w:t>
            </w:r>
          </w:p>
        </w:tc>
        <w:tc>
          <w:tcPr>
            <w:tcW w:w="2879" w:type="pct"/>
            <w:gridSpan w:val="2"/>
            <w:tcBorders>
              <w:top w:val="single" w:color="auto" w:sz="4" w:space="0"/>
              <w:left w:val="single" w:color="auto" w:sz="4" w:space="0"/>
              <w:bottom w:val="single" w:color="auto" w:sz="4" w:space="0"/>
              <w:right w:val="single" w:color="auto" w:sz="4" w:space="0"/>
            </w:tcBorders>
          </w:tcPr>
          <w:p>
            <w:pPr>
              <w:pStyle w:val="35"/>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1.2</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Element gain (dBi) </w:t>
            </w:r>
            <w:r>
              <w:rPr>
                <w:vertAlign w:val="superscript"/>
              </w:rPr>
              <w:t>(Note 2)</w:t>
            </w:r>
          </w:p>
        </w:tc>
        <w:tc>
          <w:tcPr>
            <w:tcW w:w="2879" w:type="pct"/>
            <w:gridSpan w:val="2"/>
            <w:tcBorders>
              <w:top w:val="single" w:color="auto" w:sz="4" w:space="0"/>
              <w:left w:val="single" w:color="auto" w:sz="4" w:space="0"/>
              <w:bottom w:val="single" w:color="auto" w:sz="4" w:space="0"/>
              <w:right w:val="single" w:color="auto" w:sz="4" w:space="0"/>
            </w:tcBorders>
            <w:vAlign w:val="center"/>
          </w:tcPr>
          <w:p>
            <w:pPr>
              <w:pStyle w:val="3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90º for H</w:t>
            </w:r>
          </w:p>
          <w:p>
            <w:pPr>
              <w:pStyle w:val="35"/>
            </w:pPr>
            <w:r>
              <w:t>54º for 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30 for both H/V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Linear ±45º</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8 × 8 elements</w:t>
            </w:r>
          </w:p>
        </w:tc>
        <w:tc>
          <w:tcPr>
            <w:tcW w:w="1439" w:type="pct"/>
            <w:tcBorders>
              <w:top w:val="single" w:color="auto" w:sz="4" w:space="0"/>
              <w:left w:val="single" w:color="auto" w:sz="4" w:space="0"/>
              <w:bottom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0.5 of wavelength for H, 0.9 of wavelength for 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1.8</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Array Ohmic loss (dB) </w:t>
            </w:r>
            <w:r>
              <w:rPr>
                <w:vertAlign w:val="superscript"/>
              </w:rPr>
              <w:t>(Note 2)</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2</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1.9</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Conducted power (before Ohmic loss) per antenna element (dBm) </w:t>
            </w:r>
            <w:r>
              <w:rPr>
                <w:vertAlign w:val="superscript"/>
              </w:rPr>
              <w:t>(Note 3)</w:t>
            </w:r>
            <w:r>
              <w:t xml:space="preserve">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25</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1.10</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Base station maximum coverage angle in the horizontal plane (degrees)</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120</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6"/>
            </w:pPr>
            <w:r>
              <w:t>1.12</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Mechanical </w:t>
            </w:r>
            <w:r>
              <w:rPr>
                <w:rFonts w:hint="eastAsia"/>
                <w:lang w:val="en-US" w:eastAsia="zh-CN"/>
              </w:rPr>
              <w:t>up-</w:t>
            </w:r>
            <w:r>
              <w:t>tilt (degrees)</w:t>
            </w:r>
          </w:p>
        </w:tc>
        <w:tc>
          <w:tcPr>
            <w:tcW w:w="1440" w:type="pct"/>
            <w:tcBorders>
              <w:top w:val="single" w:color="auto" w:sz="4" w:space="0"/>
              <w:left w:val="single" w:color="auto" w:sz="4" w:space="0"/>
              <w:bottom w:val="single" w:color="auto" w:sz="4" w:space="0"/>
              <w:right w:val="single" w:color="auto" w:sz="4" w:space="0"/>
            </w:tcBorders>
            <w:vAlign w:val="center"/>
          </w:tcPr>
          <w:p>
            <w:pPr>
              <w:pStyle w:val="36"/>
              <w:rPr>
                <w:rFonts w:hint="default"/>
                <w:lang w:val="zh-CN"/>
              </w:rPr>
            </w:pPr>
            <w:r>
              <w:rPr>
                <w:rFonts w:hint="eastAsia"/>
                <w:lang w:val="zh-CN"/>
              </w:rPr>
              <w:t xml:space="preserve">20 </w:t>
            </w:r>
            <w:r>
              <w:rPr>
                <w:rFonts w:hint="default"/>
                <w:lang w:val="zh-CN"/>
              </w:rPr>
              <w:t>degree 50-70km ISD</w:t>
            </w:r>
          </w:p>
          <w:p>
            <w:pPr>
              <w:pStyle w:val="36"/>
              <w:rPr>
                <w:rFonts w:hint="default"/>
                <w:lang w:val="zh-CN"/>
              </w:rPr>
            </w:pPr>
            <w:r>
              <w:rPr>
                <w:rFonts w:hint="default"/>
                <w:lang w:val="zh-CN"/>
              </w:rPr>
              <w:t>5.7 degree 100km ISD</w:t>
            </w:r>
          </w:p>
          <w:p>
            <w:pPr>
              <w:pStyle w:val="36"/>
              <w:rPr>
                <w:rFonts w:hint="default" w:eastAsia="宋体"/>
                <w:lang w:val="en-US" w:eastAsia="zh-CN"/>
              </w:rPr>
            </w:pPr>
            <w:r>
              <w:rPr>
                <w:rFonts w:hint="eastAsia"/>
                <w:lang w:val="en-US" w:eastAsia="zh-CN"/>
              </w:rPr>
              <w:t xml:space="preserve">TBD degree for </w:t>
            </w:r>
            <w:r>
              <w:rPr>
                <w:rFonts w:hint="eastAsia"/>
                <w:lang w:val="zh-CN"/>
              </w:rPr>
              <w:t>200</w:t>
            </w:r>
            <w:r>
              <w:rPr>
                <w:rFonts w:hint="default"/>
                <w:lang w:val="zh-CN"/>
              </w:rPr>
              <w:t xml:space="preserve">km </w:t>
            </w:r>
            <w:r>
              <w:rPr>
                <w:rFonts w:hint="eastAsia"/>
                <w:lang w:val="en-US" w:eastAsia="zh-CN"/>
              </w:rPr>
              <w:t>ISD</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rPr>
                <w:rFonts w:hint="default"/>
                <w:lang w:val="en-US" w:eastAsia="zh-CN"/>
              </w:rPr>
            </w:pPr>
          </w:p>
        </w:tc>
      </w:tr>
    </w:tbl>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2.3.2</w:t>
      </w:r>
      <w:r>
        <w:rPr>
          <w:rFonts w:cs="Arial"/>
          <w:b w:val="0"/>
          <w:bCs w:val="0"/>
        </w:rPr>
        <w:tab/>
      </w:r>
      <w:r>
        <w:rPr>
          <w:rFonts w:hint="eastAsia" w:cs="Arial"/>
          <w:b w:val="0"/>
          <w:bCs w:val="0"/>
        </w:rPr>
        <w:t>T</w:t>
      </w:r>
      <w:r>
        <w:rPr>
          <w:rFonts w:cs="Arial"/>
          <w:b w:val="0"/>
          <w:bCs w:val="0"/>
        </w:rPr>
        <w:t>N BS and UE antenna and beam forming pattern modelling</w:t>
      </w:r>
      <w:bookmarkEnd w:id="25"/>
      <w:bookmarkEnd w:id="26"/>
      <w:bookmarkEnd w:id="27"/>
      <w:bookmarkEnd w:id="28"/>
      <w:bookmarkEnd w:id="29"/>
    </w:p>
    <w:p>
      <w:pPr>
        <w:spacing w:after="120"/>
        <w:rPr>
          <w:rFonts w:eastAsia="等线"/>
        </w:rPr>
      </w:pPr>
      <w:r>
        <w:rPr>
          <w:rFonts w:eastAsia="宋体"/>
        </w:rPr>
        <w:t>For AAS antenna</w:t>
      </w:r>
      <w:r>
        <w:rPr>
          <w:rFonts w:hint="eastAsia" w:eastAsia="宋体"/>
          <w:lang w:val="en-US" w:eastAsia="zh-CN"/>
        </w:rPr>
        <w:t xml:space="preserve"> of TN BS</w:t>
      </w:r>
      <w:r>
        <w:rPr>
          <w:rFonts w:eastAsia="宋体"/>
        </w:rPr>
        <w:t xml:space="preserve">, </w:t>
      </w:r>
      <w:r>
        <w:rPr>
          <w:rFonts w:hint="eastAsia" w:eastAsia="宋体"/>
        </w:rPr>
        <w:t>it</w:t>
      </w:r>
      <w:r>
        <w:rPr>
          <w:rFonts w:eastAsia="等线"/>
        </w:rPr>
        <w:t xml:space="preserve"> refer</w:t>
      </w:r>
      <w:r>
        <w:rPr>
          <w:rFonts w:hint="eastAsia" w:eastAsia="等线"/>
        </w:rPr>
        <w:t>s</w:t>
      </w:r>
      <w:r>
        <w:rPr>
          <w:rFonts w:eastAsia="等线"/>
        </w:rPr>
        <w:t xml:space="preserve"> to the pattern in TR 38.921</w:t>
      </w:r>
      <w:r>
        <w:rPr>
          <w:rFonts w:hint="eastAsia" w:eastAsia="等线"/>
        </w:rPr>
        <w:t>.</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2.3.</w:t>
      </w:r>
      <w:r>
        <w:rPr>
          <w:rFonts w:hint="eastAsia" w:ascii="Times New Roman" w:hAnsi="Times New Roman" w:cs="Times New Roman"/>
          <w:b/>
          <w:bCs/>
          <w:kern w:val="2"/>
          <w:sz w:val="20"/>
          <w:szCs w:val="22"/>
          <w:lang w:val="en-US" w:eastAsia="zh-CN" w:bidi="ar-SA"/>
        </w:rPr>
        <w:t>2</w:t>
      </w:r>
      <w:r>
        <w:rPr>
          <w:rFonts w:hint="eastAsia" w:ascii="Times New Roman" w:hAnsi="Times New Roman" w:eastAsia="宋体" w:cs="Times New Roman"/>
          <w:b/>
          <w:bCs/>
          <w:kern w:val="2"/>
          <w:sz w:val="20"/>
          <w:szCs w:val="22"/>
          <w:lang w:val="zh-CN" w:eastAsia="zh-CN" w:bidi="ar-SA"/>
        </w:rPr>
        <w:t>-</w:t>
      </w:r>
      <w:r>
        <w:rPr>
          <w:rFonts w:hint="eastAsia" w:ascii="Times New Roman" w:hAnsi="Times New Roman" w:cs="Times New Roman"/>
          <w:b/>
          <w:bCs/>
          <w:kern w:val="2"/>
          <w:sz w:val="20"/>
          <w:szCs w:val="22"/>
          <w:lang w:val="en-US" w:eastAsia="zh-CN" w:bidi="ar-SA"/>
        </w:rPr>
        <w:t>1</w:t>
      </w:r>
      <w:r>
        <w:rPr>
          <w:rFonts w:hint="eastAsia" w:ascii="Times New Roman" w:hAnsi="Times New Roman" w:eastAsia="宋体" w:cs="Times New Roman"/>
          <w:b/>
          <w:bCs/>
          <w:kern w:val="2"/>
          <w:sz w:val="20"/>
          <w:szCs w:val="22"/>
          <w:lang w:val="zh-CN" w:eastAsia="zh-CN" w:bidi="ar-SA"/>
        </w:rPr>
        <w:t xml:space="preserve">: AAS antenna parameters for </w:t>
      </w:r>
      <w:r>
        <w:rPr>
          <w:rFonts w:hint="eastAsia" w:ascii="Times New Roman" w:hAnsi="Times New Roman" w:eastAsia="宋体" w:cs="Times New Roman"/>
          <w:b/>
          <w:bCs/>
          <w:kern w:val="2"/>
          <w:sz w:val="20"/>
          <w:szCs w:val="22"/>
          <w:lang w:val="en-US" w:eastAsia="zh-CN" w:bidi="ar-SA"/>
        </w:rPr>
        <w:t>TN BS at 2.1GHz, 3.5GHz and 4.9GHz</w:t>
      </w:r>
    </w:p>
    <w:tbl>
      <w:tblPr>
        <w:tblStyle w:val="23"/>
        <w:tblW w:w="4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782"/>
        <w:gridCol w:w="2347"/>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7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Rural</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w:t>
            </w:r>
          </w:p>
        </w:tc>
        <w:tc>
          <w:tcPr>
            <w:tcW w:w="46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Antenna pattern</w:t>
            </w:r>
          </w:p>
        </w:tc>
        <w:tc>
          <w:tcPr>
            <w:tcW w:w="2911" w:type="pct"/>
            <w:gridSpan w:val="2"/>
            <w:tcBorders>
              <w:top w:val="single" w:color="auto" w:sz="4" w:space="0"/>
              <w:left w:val="single" w:color="auto" w:sz="4" w:space="0"/>
              <w:bottom w:val="single" w:color="auto" w:sz="4" w:space="0"/>
              <w:right w:val="single" w:color="auto" w:sz="4" w:space="0"/>
            </w:tcBorders>
          </w:tcPr>
          <w:p>
            <w:pPr>
              <w:pStyle w:val="35"/>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Element gain (dBi)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7.1</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90º for H</w:t>
            </w:r>
          </w:p>
          <w:p>
            <w:pPr>
              <w:pStyle w:val="35"/>
            </w:pPr>
            <w:r>
              <w:t>54º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30 for both H/V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Linear ±45º</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8 × 8 elements</w:t>
            </w:r>
          </w:p>
        </w:tc>
        <w:tc>
          <w:tcPr>
            <w:tcW w:w="1455" w:type="pct"/>
            <w:tcBorders>
              <w:top w:val="single" w:color="auto" w:sz="4" w:space="0"/>
              <w:left w:val="single" w:color="auto" w:sz="4" w:space="0"/>
              <w:bottom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0.5 of wavelength for H, 0.9 of wavelength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1.8</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Array Ohmic loss (dB)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2</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1.9</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Conducted power (before Ohmic loss) per antenna element (dBm) </w:t>
            </w:r>
            <w:r>
              <w:rPr>
                <w:vertAlign w:val="superscript"/>
              </w:rPr>
              <w:t>(Note 3)</w:t>
            </w:r>
            <w:r>
              <w:t xml:space="preserv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25</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1.10</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Base station maximum coverage angle in the horizontal plane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120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Base station vertical coverage range (degrees) </w:t>
            </w:r>
            <w:r>
              <w:rPr>
                <w:vertAlign w:val="superscript"/>
              </w:rPr>
              <w:t>(Note 1)</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90-100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Mechanical downtilt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3</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bl>
    <w:p/>
    <w:p>
      <w:pPr>
        <w:rPr>
          <w:szCs w:val="24"/>
        </w:rPr>
      </w:pPr>
      <w:r>
        <w:t>For non-AAS antenna</w:t>
      </w:r>
      <w:r>
        <w:rPr>
          <w:rFonts w:hint="eastAsia"/>
          <w:lang w:val="en-US" w:eastAsia="zh-CN"/>
        </w:rPr>
        <w:t xml:space="preserve"> of TN BS</w:t>
      </w:r>
      <w:r>
        <w:t>, t</w:t>
      </w:r>
      <w:r>
        <w:rPr>
          <w:szCs w:val="24"/>
        </w:rPr>
        <w:t>he parameters in Table 2.3.2-</w:t>
      </w:r>
      <w:r>
        <w:rPr>
          <w:rFonts w:hint="eastAsia"/>
          <w:szCs w:val="24"/>
          <w:lang w:val="en-US" w:eastAsia="zh-CN"/>
        </w:rPr>
        <w:t>2</w:t>
      </w:r>
      <w:r>
        <w:rPr>
          <w:szCs w:val="24"/>
        </w:rPr>
        <w:t xml:space="preserve"> are used for </w:t>
      </w:r>
      <w:r>
        <w:rPr>
          <w:rFonts w:hint="eastAsia"/>
          <w:szCs w:val="24"/>
          <w:lang w:val="en-US" w:eastAsia="zh-CN"/>
        </w:rPr>
        <w:t>TN</w:t>
      </w:r>
      <w:r>
        <w:rPr>
          <w:szCs w:val="24"/>
        </w:rPr>
        <w:t xml:space="preserve"> BS antenna pattern in the </w:t>
      </w:r>
      <w:r>
        <w:rPr>
          <w:rFonts w:hint="eastAsia"/>
          <w:szCs w:val="24"/>
          <w:lang w:val="en-US" w:eastAsia="zh-CN"/>
        </w:rPr>
        <w:t xml:space="preserve">ATG coexistence </w:t>
      </w:r>
      <w:r>
        <w:rPr>
          <w:szCs w:val="24"/>
        </w:rPr>
        <w:t xml:space="preserve">simulation. </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2.3.2-</w:t>
      </w:r>
      <w:r>
        <w:rPr>
          <w:rFonts w:hint="eastAsia" w:ascii="Times New Roman" w:hAnsi="Times New Roman" w:eastAsia="宋体" w:cs="Times New Roman"/>
          <w:b/>
          <w:bCs/>
          <w:kern w:val="2"/>
          <w:sz w:val="20"/>
          <w:szCs w:val="22"/>
          <w:lang w:val="en-US" w:eastAsia="zh-CN" w:bidi="ar-SA"/>
        </w:rPr>
        <w:t>2</w:t>
      </w:r>
      <w:r>
        <w:rPr>
          <w:rFonts w:hint="eastAsia" w:ascii="Times New Roman" w:hAnsi="Times New Roman" w:eastAsia="宋体" w:cs="Times New Roman"/>
          <w:b/>
          <w:bCs/>
          <w:kern w:val="2"/>
          <w:sz w:val="20"/>
          <w:szCs w:val="22"/>
          <w:lang w:val="zh-CN" w:eastAsia="zh-CN" w:bidi="ar-SA"/>
        </w:rPr>
        <w:t xml:space="preserve">: FR1 BS Non-AAS antenna pattern for </w:t>
      </w:r>
      <w:r>
        <w:rPr>
          <w:rFonts w:hint="eastAsia" w:ascii="Times New Roman" w:hAnsi="Times New Roman" w:eastAsia="宋体" w:cs="Times New Roman"/>
          <w:b/>
          <w:bCs/>
          <w:kern w:val="2"/>
          <w:sz w:val="20"/>
          <w:szCs w:val="22"/>
          <w:lang w:val="en-US" w:eastAsia="zh-CN" w:bidi="ar-SA"/>
        </w:rPr>
        <w:t>TN BS at 2.1GHz, 3.5GHz and 4.9GHz</w:t>
      </w:r>
    </w:p>
    <w:tbl>
      <w:tblPr>
        <w:tblStyle w:val="2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pPr>
              <w:pStyle w:val="34"/>
              <w:rPr>
                <w:lang w:val="zh-CN"/>
              </w:rPr>
            </w:pPr>
            <w:r>
              <w:t xml:space="preserve"> </w:t>
            </w:r>
            <w:r>
              <w:rPr>
                <w:lang w:val="zh-CN"/>
              </w:rPr>
              <w:t>Parameter for BS</w:t>
            </w:r>
          </w:p>
        </w:tc>
        <w:tc>
          <w:tcPr>
            <w:tcW w:w="5927" w:type="dxa"/>
            <w:gridSpan w:val="2"/>
            <w:shd w:val="clear" w:color="auto" w:fill="auto"/>
            <w:vAlign w:val="center"/>
          </w:tcPr>
          <w:p>
            <w:pPr>
              <w:pStyle w:val="34"/>
              <w:rPr>
                <w:lang w:val="zh-CN"/>
              </w:rPr>
            </w:pPr>
            <w:r>
              <w:rPr>
                <w:lang w:val="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6"/>
            </w:pPr>
            <w:r>
              <w:t>Antenna vertical radiation pattern (dB)</w:t>
            </w:r>
          </w:p>
        </w:tc>
        <w:tc>
          <w:tcPr>
            <w:tcW w:w="5927" w:type="dxa"/>
            <w:gridSpan w:val="2"/>
            <w:vAlign w:val="center"/>
          </w:tcPr>
          <w:p>
            <w:pPr>
              <w:pStyle w:val="35"/>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-90°</m:t>
                                    </m:r>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pPr>
              <w:pStyle w:val="36"/>
            </w:pPr>
            <w:r>
              <w:t>Antenna horizontal radiation pattern (dB)</w:t>
            </w:r>
          </w:p>
        </w:tc>
        <w:tc>
          <w:tcPr>
            <w:tcW w:w="5927" w:type="dxa"/>
            <w:gridSpan w:val="2"/>
            <w:vAlign w:val="center"/>
          </w:tcPr>
          <w:p>
            <w:pPr>
              <w:pStyle w:val="35"/>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p>
            <w:pPr>
              <w:pStyle w:val="35"/>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6"/>
            </w:pPr>
            <w:r>
              <w:t>Combining method for 3D antenna pattern (dB)</w:t>
            </w:r>
          </w:p>
        </w:tc>
        <w:tc>
          <w:tcPr>
            <w:tcW w:w="5927" w:type="dxa"/>
            <w:gridSpan w:val="2"/>
            <w:vAlign w:val="center"/>
          </w:tcPr>
          <w:p>
            <w:pPr>
              <w:pStyle w:val="35"/>
              <w:rPr>
                <w:lang w:val="zh-CN"/>
              </w:rPr>
            </w:pPr>
            <m:oMathPara>
              <m:oMath>
                <m:sSup>
                  <m:sSupPr>
                    <m:ctrlPr>
                      <w:rPr>
                        <w:rFonts w:ascii="Cambria Math" w:hAnsi="Cambria Math"/>
                        <w:sz w:val="20"/>
                        <w:lang w:val="zh-CN"/>
                      </w:rPr>
                    </m:ctrlPr>
                  </m:sSupPr>
                  <m:e>
                    <m:r>
                      <m:rPr>
                        <m:sty m:val="p"/>
                      </m:rPr>
                      <w:rPr>
                        <w:rFonts w:ascii="Cambria Math" w:hAnsi="Cambria Math"/>
                        <w:lang w:val="zh-CN"/>
                      </w:rPr>
                      <m:t>A</m:t>
                    </m:r>
                    <m:ctrlPr>
                      <w:rPr>
                        <w:rFonts w:ascii="Cambria Math" w:hAnsi="Cambria Math"/>
                        <w:sz w:val="20"/>
                        <w:lang w:val="zh-CN"/>
                      </w:rPr>
                    </m:ctrlPr>
                  </m:e>
                  <m:sup>
                    <m:r>
                      <w:rPr>
                        <w:rFonts w:ascii="Cambria Math" w:hAnsi="Cambria Math"/>
                        <w:lang w:val="zh-CN"/>
                      </w:rPr>
                      <m:t>“</m:t>
                    </m:r>
                    <m:ctrlPr>
                      <w:rPr>
                        <w:rFonts w:ascii="Cambria Math" w:hAnsi="Cambria Math"/>
                        <w:sz w:val="20"/>
                        <w:lang w:val="zh-CN"/>
                      </w:rPr>
                    </m:ctrlP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lang w:val="de-DE"/>
                      </w:rPr>
                    </m:ctrlPr>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,V</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m:t>
                            </m:r>
                            <m:r>
                              <w:rPr>
                                <w:rFonts w:hint="eastAsia" w:ascii="Cambria Math" w:hAnsi="Cambria Math"/>
                                <w:lang w:val="de-DE" w:eastAsia="zh-CN"/>
                              </w:rPr>
                              <m:t>H</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ctrlPr>
                          <w:rPr>
                            <w:rFonts w:ascii="Cambria Math" w:hAnsi="Cambria Math"/>
                            <w:i/>
                            <w:sz w:val="20"/>
                            <w:lang w:val="de-DE"/>
                          </w:rPr>
                        </m:ctrlPr>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ascii="Cambria Math" w:hAnsi="Cambria Math"/>
                            <w:lang w:val="de-DE"/>
                          </w:rPr>
                          <m:t>m</m:t>
                        </m:r>
                        <m:ctrlPr>
                          <w:rPr>
                            <w:rFonts w:ascii="Cambria Math" w:hAnsi="Cambria Math"/>
                            <w:i/>
                            <w:sz w:val="20"/>
                            <w:lang w:val="de-DE"/>
                          </w:rPr>
                        </m:ctrlPr>
                      </m:sub>
                    </m:sSub>
                    <m:ctrlPr>
                      <w:rPr>
                        <w:rFonts w:ascii="Cambria Math" w:hAnsi="Cambria Math"/>
                        <w:sz w:val="20"/>
                        <w:lang w:val="de-D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6"/>
            </w:pPr>
            <w:r>
              <w:t xml:space="preserve">Maximum directional gain of an antenna </w:t>
            </w:r>
            <w:r>
              <w:rPr>
                <w:i/>
              </w:rPr>
              <w:t>G</w:t>
            </w:r>
            <w:r>
              <w:rPr>
                <w:i/>
                <w:vertAlign w:val="subscript"/>
              </w:rPr>
              <w:t>E,max</w:t>
            </w:r>
          </w:p>
        </w:tc>
        <w:tc>
          <w:tcPr>
            <w:tcW w:w="5927" w:type="dxa"/>
            <w:gridSpan w:val="2"/>
            <w:vAlign w:val="center"/>
          </w:tcPr>
          <w:p>
            <w:pPr>
              <w:pStyle w:val="35"/>
              <w:rPr>
                <w:lang w:val="zh-CN"/>
              </w:rPr>
            </w:pPr>
            <w:r>
              <w:rPr>
                <w:lang w:val="zh-CN" w:eastAsia="ja-JP"/>
              </w:rPr>
              <w:t xml:space="preserve">17 </w:t>
            </w:r>
            <w:r>
              <w:rPr>
                <w:lang w:val="zh-CN"/>
              </w:rPr>
              <w:t xml:space="preserve">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6"/>
            </w:pPr>
            <w:r>
              <w:t>Conducted power</w:t>
            </w:r>
          </w:p>
        </w:tc>
        <w:tc>
          <w:tcPr>
            <w:tcW w:w="5927" w:type="dxa"/>
            <w:gridSpan w:val="2"/>
            <w:vAlign w:val="center"/>
          </w:tcPr>
          <w:p>
            <w:pPr>
              <w:pStyle w:val="35"/>
              <w:rPr>
                <w:lang w:val="zh-CN"/>
              </w:rPr>
            </w:pPr>
            <w:r>
              <w:rPr>
                <w:lang w:val="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restart"/>
            <w:shd w:val="clear" w:color="auto" w:fill="auto"/>
            <w:vAlign w:val="center"/>
          </w:tcPr>
          <w:p>
            <w:pPr>
              <w:pStyle w:val="36"/>
            </w:pPr>
            <w:r>
              <w:t>Mechanical downtilt in degrees</w:t>
            </w:r>
          </w:p>
        </w:tc>
        <w:tc>
          <w:tcPr>
            <w:tcW w:w="3747" w:type="dxa"/>
            <w:vAlign w:val="center"/>
          </w:tcPr>
          <w:p>
            <w:pPr>
              <w:pStyle w:val="35"/>
              <w:rPr>
                <w:lang w:val="zh-CN"/>
              </w:rPr>
            </w:pPr>
            <w:r>
              <w:rPr>
                <w:lang w:val="zh-CN"/>
              </w:rPr>
              <w:t>Rural</w:t>
            </w:r>
          </w:p>
        </w:tc>
        <w:tc>
          <w:tcPr>
            <w:tcW w:w="2180" w:type="dxa"/>
            <w:vAlign w:val="center"/>
          </w:tcPr>
          <w:p>
            <w:pPr>
              <w:pStyle w:val="35"/>
              <w:rPr>
                <w:lang w:val="zh-CN"/>
              </w:rPr>
            </w:pPr>
            <w:r>
              <w:rPr>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continue"/>
            <w:shd w:val="clear" w:color="auto" w:fill="auto"/>
            <w:vAlign w:val="center"/>
          </w:tcPr>
          <w:p>
            <w:pPr>
              <w:keepNext/>
              <w:keepLines/>
              <w:rPr>
                <w:rFonts w:eastAsia="微软雅黑"/>
                <w:sz w:val="18"/>
                <w:szCs w:val="18"/>
              </w:rPr>
            </w:pPr>
          </w:p>
        </w:tc>
        <w:tc>
          <w:tcPr>
            <w:tcW w:w="3747" w:type="dxa"/>
            <w:vAlign w:val="center"/>
          </w:tcPr>
          <w:p>
            <w:pPr>
              <w:pStyle w:val="35"/>
              <w:rPr>
                <w:lang w:val="zh-CN"/>
              </w:rPr>
            </w:pPr>
            <w:r>
              <w:rPr>
                <w:lang w:val="zh-CN"/>
              </w:rPr>
              <w:t>Urban</w:t>
            </w:r>
          </w:p>
        </w:tc>
        <w:tc>
          <w:tcPr>
            <w:tcW w:w="2180" w:type="dxa"/>
            <w:vAlign w:val="center"/>
          </w:tcPr>
          <w:p>
            <w:pPr>
              <w:pStyle w:val="35"/>
              <w:rPr>
                <w:rFonts w:hint="default" w:eastAsia="宋体"/>
                <w:lang w:val="en-US" w:eastAsia="zh-CN"/>
              </w:rPr>
            </w:pPr>
            <w:r>
              <w:rPr>
                <w:rFonts w:hint="eastAsia" w:eastAsia="宋体"/>
                <w:lang w:val="en-US" w:eastAsia="zh-CN"/>
              </w:rPr>
              <w:t>NA</w:t>
            </w:r>
          </w:p>
        </w:tc>
      </w:tr>
    </w:tbl>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30" w:name="_Toc104122356"/>
      <w:bookmarkStart w:id="31" w:name="_Toc94170352"/>
      <w:bookmarkStart w:id="32" w:name="_Toc104502874"/>
      <w:bookmarkStart w:id="33" w:name="_Toc87889251"/>
      <w:bookmarkStart w:id="34" w:name="_Toc104210162"/>
      <w:r>
        <w:rPr>
          <w:rFonts w:hint="eastAsia" w:ascii="Arial" w:hAnsi="Arial" w:cs="Arial"/>
          <w:sz w:val="28"/>
          <w:szCs w:val="28"/>
          <w:lang w:val="en-US" w:eastAsia="zh-CN"/>
        </w:rPr>
        <w:t>2.4. ACIR model</w:t>
      </w:r>
      <w:bookmarkEnd w:id="30"/>
      <w:bookmarkEnd w:id="31"/>
      <w:bookmarkEnd w:id="32"/>
      <w:bookmarkEnd w:id="33"/>
      <w:bookmarkEnd w:id="34"/>
    </w:p>
    <w:p>
      <w:pPr>
        <w:rPr>
          <w:lang w:val="sv-SE"/>
        </w:rPr>
      </w:pPr>
      <w:r>
        <w:rPr>
          <w:lang w:val="sv-SE"/>
        </w:rPr>
        <w:t xml:space="preserve">ACLR modelling for TN and </w:t>
      </w:r>
      <w:r>
        <w:rPr>
          <w:rFonts w:hint="eastAsia"/>
          <w:lang w:val="en-US" w:eastAsia="zh-CN"/>
        </w:rPr>
        <w:t>ATG</w:t>
      </w:r>
      <w:r>
        <w:rPr>
          <w:lang w:val="sv-SE"/>
        </w:rPr>
        <w:t xml:space="preserve"> co-existence study referring to clause 5.1.1.4.1 and 5.1.1.4.2 in TR 36.942</w:t>
      </w:r>
      <w:r>
        <w:rPr>
          <w:color w:val="000000"/>
          <w:szCs w:val="18"/>
        </w:rPr>
        <w:t>[8]</w:t>
      </w:r>
      <w:r>
        <w:rPr>
          <w:lang w:val="sv-SE"/>
        </w:rPr>
        <w:t xml:space="preserve"> is used as baseline.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35" w:name="_Toc87889252"/>
      <w:bookmarkStart w:id="36" w:name="_Toc104502875"/>
      <w:bookmarkStart w:id="37" w:name="_Toc104210163"/>
      <w:bookmarkStart w:id="38" w:name="_Toc104122357"/>
      <w:bookmarkStart w:id="39" w:name="_Toc94170353"/>
      <w:r>
        <w:rPr>
          <w:rFonts w:hint="eastAsia" w:ascii="Arial" w:hAnsi="Arial" w:cs="Arial"/>
          <w:sz w:val="28"/>
          <w:szCs w:val="28"/>
          <w:lang w:val="en-US" w:eastAsia="zh-CN"/>
        </w:rPr>
        <w:t>2.5. Propagation model</w:t>
      </w:r>
      <w:bookmarkEnd w:id="35"/>
      <w:bookmarkEnd w:id="36"/>
      <w:bookmarkEnd w:id="37"/>
      <w:bookmarkEnd w:id="38"/>
      <w:bookmarkEnd w:id="39"/>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0" w:name="_Toc104210164"/>
      <w:bookmarkStart w:id="41" w:name="_Toc104122358"/>
      <w:bookmarkStart w:id="42" w:name="_Toc104502876"/>
      <w:bookmarkStart w:id="43" w:name="_Toc87889253"/>
      <w:bookmarkStart w:id="44" w:name="_Toc94170354"/>
      <w:r>
        <w:rPr>
          <w:rFonts w:cs="Arial"/>
          <w:b w:val="0"/>
          <w:bCs w:val="0"/>
        </w:rPr>
        <w:t>2.5.1</w:t>
      </w:r>
      <w:r>
        <w:rPr>
          <w:rFonts w:hint="eastAsia" w:cs="Arial"/>
          <w:b w:val="0"/>
          <w:bCs w:val="0"/>
          <w:lang w:val="en-US" w:eastAsia="zh-CN"/>
        </w:rPr>
        <w:t xml:space="preserve"> </w:t>
      </w:r>
      <w:r>
        <w:rPr>
          <w:rFonts w:cs="Arial"/>
          <w:b w:val="0"/>
          <w:bCs w:val="0"/>
        </w:rPr>
        <w:t xml:space="preserve">Propagation model between </w:t>
      </w:r>
      <w:r>
        <w:rPr>
          <w:rFonts w:hint="eastAsia" w:cs="Arial"/>
          <w:b w:val="0"/>
          <w:bCs w:val="0"/>
          <w:lang w:val="en-US" w:eastAsia="zh-CN"/>
        </w:rPr>
        <w:t>ATG BS</w:t>
      </w:r>
      <w:r>
        <w:rPr>
          <w:rFonts w:cs="Arial"/>
          <w:b w:val="0"/>
          <w:bCs w:val="0"/>
        </w:rPr>
        <w:t xml:space="preserve"> and UE</w:t>
      </w:r>
      <w:bookmarkEnd w:id="40"/>
      <w:bookmarkEnd w:id="41"/>
      <w:bookmarkEnd w:id="42"/>
      <w:bookmarkEnd w:id="43"/>
      <w:bookmarkEnd w:id="44"/>
    </w:p>
    <w:p>
      <w:pPr>
        <w:rPr>
          <w:rFonts w:eastAsia="宋体"/>
        </w:rPr>
      </w:pPr>
      <w:r>
        <w:rPr>
          <w:rFonts w:hint="eastAsia" w:eastAsia="宋体"/>
        </w:rPr>
        <w:t>P</w:t>
      </w:r>
      <w:r>
        <w:rPr>
          <w:rFonts w:eastAsia="宋体"/>
        </w:rPr>
        <w:t xml:space="preserve">ropagation model between </w:t>
      </w:r>
      <w:r>
        <w:rPr>
          <w:rFonts w:hint="eastAsia" w:eastAsia="宋体"/>
          <w:lang w:val="en-US" w:eastAsia="zh-CN"/>
        </w:rPr>
        <w:t>ATG</w:t>
      </w:r>
      <w:r>
        <w:rPr>
          <w:rFonts w:eastAsia="宋体"/>
        </w:rPr>
        <w:t xml:space="preserve"> </w:t>
      </w:r>
      <w:r>
        <w:rPr>
          <w:rFonts w:hint="eastAsia" w:eastAsia="宋体"/>
          <w:lang w:val="en-US" w:eastAsia="zh-CN"/>
        </w:rPr>
        <w:t>BS</w:t>
      </w:r>
      <w:r>
        <w:rPr>
          <w:rFonts w:eastAsia="宋体"/>
        </w:rPr>
        <w:t xml:space="preserve"> and UE should reference to section 6.6 in TR 38.811[5].</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5" w:name="_Toc104210165"/>
      <w:bookmarkStart w:id="46" w:name="_Toc94170355"/>
      <w:bookmarkStart w:id="47" w:name="_Toc104502877"/>
      <w:bookmarkStart w:id="48" w:name="_Toc87889254"/>
      <w:bookmarkStart w:id="49" w:name="_Toc104122359"/>
      <w:r>
        <w:rPr>
          <w:rFonts w:cs="Arial"/>
          <w:b w:val="0"/>
          <w:bCs w:val="0"/>
        </w:rPr>
        <w:t>2.5.2</w:t>
      </w:r>
      <w:r>
        <w:rPr>
          <w:rFonts w:cs="Arial"/>
          <w:b w:val="0"/>
          <w:bCs w:val="0"/>
        </w:rPr>
        <w:tab/>
      </w:r>
      <w:r>
        <w:rPr>
          <w:rFonts w:cs="Arial"/>
          <w:b w:val="0"/>
          <w:bCs w:val="0"/>
        </w:rPr>
        <w:t>Propagation model between TN BS and UE</w:t>
      </w:r>
      <w:bookmarkEnd w:id="45"/>
      <w:bookmarkEnd w:id="46"/>
      <w:bookmarkEnd w:id="47"/>
      <w:bookmarkEnd w:id="48"/>
      <w:bookmarkEnd w:id="49"/>
    </w:p>
    <w:p>
      <w:r>
        <w:t>Propagation model between TN BS and UE should reference to section 7.4 in TR 38.901</w:t>
      </w:r>
      <w:r>
        <w:rPr>
          <w:color w:val="000000"/>
          <w:szCs w:val="18"/>
        </w:rPr>
        <w:t>[10]</w:t>
      </w:r>
      <w:r>
        <w:t>.</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50" w:name="_Toc104122360"/>
      <w:bookmarkStart w:id="51" w:name="_Toc94170356"/>
      <w:bookmarkStart w:id="52" w:name="_Toc87889255"/>
      <w:bookmarkStart w:id="53" w:name="_Toc104502878"/>
      <w:bookmarkStart w:id="54" w:name="_Toc104210166"/>
      <w:r>
        <w:rPr>
          <w:rFonts w:cs="Arial"/>
          <w:b w:val="0"/>
          <w:bCs w:val="0"/>
        </w:rPr>
        <w:t>2.5.3</w:t>
      </w:r>
      <w:r>
        <w:rPr>
          <w:rFonts w:cs="Arial"/>
          <w:b w:val="0"/>
          <w:bCs w:val="0"/>
        </w:rPr>
        <w:tab/>
      </w:r>
      <w:r>
        <w:rPr>
          <w:rFonts w:cs="Arial"/>
          <w:b w:val="0"/>
          <w:bCs w:val="0"/>
        </w:rPr>
        <w:t xml:space="preserve">Propagation model between </w:t>
      </w:r>
      <w:r>
        <w:rPr>
          <w:rFonts w:hint="eastAsia" w:cs="Arial"/>
          <w:b w:val="0"/>
          <w:bCs w:val="0"/>
          <w:lang w:val="en-US" w:eastAsia="zh-CN"/>
        </w:rPr>
        <w:t>ATG</w:t>
      </w:r>
      <w:r>
        <w:rPr>
          <w:rFonts w:cs="Arial"/>
          <w:b w:val="0"/>
          <w:bCs w:val="0"/>
        </w:rPr>
        <w:t xml:space="preserve"> </w:t>
      </w:r>
      <w:r>
        <w:rPr>
          <w:rFonts w:hint="eastAsia" w:cs="Arial"/>
          <w:b w:val="0"/>
          <w:bCs w:val="0"/>
          <w:lang w:val="en-US" w:eastAsia="zh-CN"/>
        </w:rPr>
        <w:t>BS</w:t>
      </w:r>
      <w:r>
        <w:rPr>
          <w:rFonts w:cs="Arial"/>
          <w:b w:val="0"/>
          <w:bCs w:val="0"/>
        </w:rPr>
        <w:t xml:space="preserve"> and TN BS</w:t>
      </w:r>
      <w:bookmarkEnd w:id="50"/>
      <w:bookmarkEnd w:id="51"/>
      <w:bookmarkEnd w:id="52"/>
      <w:bookmarkEnd w:id="53"/>
      <w:bookmarkEnd w:id="54"/>
    </w:p>
    <w:p>
      <w:pPr>
        <w:spacing w:after="120"/>
        <w:rPr>
          <w:rFonts w:eastAsia="宋体"/>
        </w:rPr>
      </w:pPr>
      <w:r>
        <w:rPr>
          <w:rFonts w:hint="eastAsia" w:eastAsia="宋体"/>
        </w:rPr>
        <w:t xml:space="preserve">Propagation model between </w:t>
      </w:r>
      <w:r>
        <w:rPr>
          <w:rFonts w:hint="eastAsia" w:eastAsia="宋体"/>
          <w:lang w:val="en-US" w:eastAsia="zh-CN"/>
        </w:rPr>
        <w:t>ATG BS</w:t>
      </w:r>
      <w:r>
        <w:rPr>
          <w:rFonts w:hint="eastAsia" w:eastAsia="宋体"/>
        </w:rPr>
        <w:t xml:space="preserve"> and TN BS should reference to TS 38.811</w:t>
      </w:r>
      <w:r>
        <w:rPr>
          <w:rFonts w:eastAsia="宋体"/>
        </w:rPr>
        <w:t>[5]</w:t>
      </w:r>
      <w:r>
        <w:rPr>
          <w:rFonts w:hint="eastAsia" w:eastAsia="宋体"/>
        </w:rPr>
        <w:t xml:space="preserve"> which is used for DL-UL cross link interference for band</w:t>
      </w:r>
      <w:r>
        <w:rPr>
          <w:rFonts w:hint="eastAsia" w:eastAsia="宋体"/>
          <w:lang w:val="en-US" w:eastAsia="zh-CN"/>
        </w:rPr>
        <w:t xml:space="preserve"> n1</w:t>
      </w:r>
      <w:r>
        <w:rPr>
          <w:rFonts w:hint="eastAsia" w:eastAsia="宋体"/>
        </w:rPr>
        <w:t>.</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55" w:name="_Toc104122362"/>
      <w:bookmarkStart w:id="56" w:name="_Toc104210168"/>
      <w:bookmarkStart w:id="57" w:name="_Toc104502880"/>
      <w:bookmarkStart w:id="58" w:name="_Toc87889257"/>
      <w:bookmarkStart w:id="59" w:name="_Toc94170358"/>
      <w:r>
        <w:rPr>
          <w:rFonts w:hint="eastAsia" w:ascii="Arial" w:hAnsi="Arial" w:cs="Arial"/>
          <w:sz w:val="28"/>
          <w:szCs w:val="28"/>
          <w:lang w:val="en-US" w:eastAsia="zh-CN"/>
        </w:rPr>
        <w:t>2.6.</w:t>
      </w:r>
      <w:bookmarkStart w:id="60" w:name="_Toc494384421"/>
      <w:r>
        <w:rPr>
          <w:rFonts w:hint="eastAsia" w:ascii="Arial" w:hAnsi="Arial" w:cs="Arial"/>
          <w:sz w:val="28"/>
          <w:szCs w:val="28"/>
          <w:lang w:val="en-US" w:eastAsia="zh-CN"/>
        </w:rPr>
        <w:t xml:space="preserve"> Transmission power control model</w:t>
      </w:r>
      <w:bookmarkEnd w:id="55"/>
      <w:bookmarkEnd w:id="56"/>
      <w:bookmarkEnd w:id="57"/>
      <w:bookmarkEnd w:id="58"/>
      <w:bookmarkEnd w:id="59"/>
      <w:bookmarkEnd w:id="60"/>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1" w:name="_Toc104502881"/>
      <w:bookmarkStart w:id="62" w:name="_Toc94170359"/>
      <w:bookmarkStart w:id="63" w:name="_Toc104210169"/>
      <w:bookmarkStart w:id="64" w:name="_Toc104122363"/>
      <w:bookmarkStart w:id="65" w:name="_Toc87889258"/>
      <w:r>
        <w:rPr>
          <w:rFonts w:cs="Arial"/>
          <w:b w:val="0"/>
          <w:bCs w:val="0"/>
        </w:rPr>
        <w:t>2.6.1</w:t>
      </w:r>
      <w:r>
        <w:rPr>
          <w:rFonts w:cs="Arial"/>
          <w:b w:val="0"/>
          <w:bCs w:val="0"/>
        </w:rPr>
        <w:tab/>
      </w:r>
      <w:r>
        <w:rPr>
          <w:rFonts w:cs="Arial"/>
          <w:b w:val="0"/>
          <w:bCs w:val="0"/>
        </w:rPr>
        <w:t>TN UL TPC</w:t>
      </w:r>
      <w:bookmarkEnd w:id="61"/>
      <w:bookmarkEnd w:id="62"/>
      <w:bookmarkEnd w:id="63"/>
      <w:bookmarkEnd w:id="64"/>
      <w:bookmarkEnd w:id="65"/>
    </w:p>
    <w:p>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pPr>
        <w:pStyle w:val="42"/>
        <w:jc w:val="center"/>
      </w:pPr>
      <w:r>
        <w:object>
          <v:shape id="_x0000_i1025" o:spt="75" type="#_x0000_t75" style="height:43pt;width:180pt;" o:ole="t" fillcolor="#00CC99"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r>
        <w:t xml:space="preserve">where: </w:t>
      </w:r>
    </w:p>
    <w:p>
      <w:pPr>
        <w:pStyle w:val="49"/>
      </w:pPr>
      <w:r>
        <w:t>-</w:t>
      </w:r>
      <w:r>
        <w:tab/>
      </w:r>
      <w:r>
        <w:t>P</w:t>
      </w:r>
      <w:r>
        <w:rPr>
          <w:vertAlign w:val="subscript"/>
        </w:rPr>
        <w:t>max</w:t>
      </w:r>
      <w:r>
        <w:t xml:space="preserve"> = 2</w:t>
      </w:r>
      <w:r>
        <w:rPr>
          <w:rFonts w:hint="eastAsia"/>
        </w:rPr>
        <w:t>3</w:t>
      </w:r>
      <w:r>
        <w:t xml:space="preserve">dBm, </w:t>
      </w:r>
    </w:p>
    <w:p>
      <w:pPr>
        <w:pStyle w:val="49"/>
      </w:pPr>
      <w:r>
        <w:t>-</w:t>
      </w:r>
      <w:r>
        <w:tab/>
      </w:r>
      <w:r>
        <w:t>R</w:t>
      </w:r>
      <w:r>
        <w:rPr>
          <w:vertAlign w:val="subscript"/>
        </w:rPr>
        <w:t>min</w:t>
      </w:r>
      <w:r>
        <w:t xml:space="preserve"> = </w:t>
      </w:r>
      <w:r>
        <w:rPr>
          <w:rFonts w:hint="eastAsia"/>
        </w:rPr>
        <w:t xml:space="preserve">TBD </w:t>
      </w:r>
      <w:r>
        <w:t xml:space="preserve">dB, </w:t>
      </w:r>
    </w:p>
    <w:p>
      <w:pPr>
        <w:pStyle w:val="49"/>
      </w:pPr>
      <w:r>
        <w:t>-</w:t>
      </w:r>
      <w:r>
        <w:tab/>
      </w:r>
      <w:r>
        <w:t>CL</w:t>
      </w:r>
      <w:r>
        <w:rPr>
          <w:vertAlign w:val="subscript"/>
        </w:rPr>
        <w:t>x-ile</w:t>
      </w:r>
      <w:r>
        <w:t xml:space="preserve"> and γ are set</w:t>
      </w:r>
      <w:r>
        <w:rPr>
          <w:rFonts w:hint="eastAsia"/>
        </w:rPr>
        <w:t xml:space="preserve"> as following</w:t>
      </w:r>
      <w:r>
        <w:t>:</w:t>
      </w:r>
    </w:p>
    <w:p>
      <w:pPr>
        <w:pStyle w:val="96"/>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pPr>
        <w:pStyle w:val="96"/>
        <w:rPr>
          <w:lang w:eastAsia="ja-JP"/>
        </w:rPr>
      </w:pPr>
      <w:r>
        <w:t>-</w:t>
      </w:r>
      <w:r>
        <w:tab/>
      </w:r>
      <w:r>
        <w:t>γ</w:t>
      </w:r>
      <w:r>
        <w:rPr>
          <w:lang w:eastAsia="ja-JP"/>
        </w:rPr>
        <w:t xml:space="preserve"> = 1For uplink scenario, </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6" w:name="_Toc104502882"/>
      <w:bookmarkStart w:id="67" w:name="_Toc104122364"/>
      <w:bookmarkStart w:id="68" w:name="_Toc87889259"/>
      <w:bookmarkStart w:id="69" w:name="_Toc94170360"/>
      <w:bookmarkStart w:id="70" w:name="_Toc104210170"/>
      <w:r>
        <w:rPr>
          <w:rFonts w:cs="Arial"/>
          <w:b w:val="0"/>
          <w:bCs w:val="0"/>
        </w:rPr>
        <w:t>2.6.2</w:t>
      </w:r>
      <w:r>
        <w:rPr>
          <w:rFonts w:cs="Arial"/>
          <w:b w:val="0"/>
          <w:bCs w:val="0"/>
        </w:rPr>
        <w:tab/>
      </w:r>
      <w:r>
        <w:rPr>
          <w:rFonts w:hint="eastAsia" w:cs="Arial"/>
          <w:b w:val="0"/>
          <w:bCs w:val="0"/>
          <w:lang w:val="en-US" w:eastAsia="zh-CN"/>
        </w:rPr>
        <w:t>ATG</w:t>
      </w:r>
      <w:r>
        <w:rPr>
          <w:rFonts w:cs="Arial"/>
          <w:b w:val="0"/>
          <w:bCs w:val="0"/>
        </w:rPr>
        <w:t xml:space="preserve"> UL TPC</w:t>
      </w:r>
      <w:bookmarkEnd w:id="66"/>
      <w:bookmarkEnd w:id="67"/>
      <w:bookmarkEnd w:id="68"/>
      <w:bookmarkEnd w:id="69"/>
      <w:bookmarkEnd w:id="70"/>
    </w:p>
    <w:p>
      <w:pPr>
        <w:rPr>
          <w:lang w:val="sv-SE"/>
        </w:rPr>
      </w:pPr>
      <w:r>
        <w:rPr>
          <w:lang w:val="sv-SE"/>
        </w:rPr>
        <w:t xml:space="preserve">For the coexistence study, the same TPC model of TN for </w:t>
      </w:r>
      <w:r>
        <w:rPr>
          <w:rFonts w:hint="eastAsia"/>
          <w:lang w:val="en-US" w:eastAsia="zh-CN"/>
        </w:rPr>
        <w:t>ATG</w:t>
      </w:r>
      <w:r>
        <w:rPr>
          <w:lang w:val="sv-SE"/>
        </w:rPr>
        <w:t xml:space="preserve"> UL scenarios is adopted</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71" w:name="_Toc104122365"/>
      <w:bookmarkStart w:id="72" w:name="_Toc104502883"/>
      <w:bookmarkStart w:id="73" w:name="_Toc104210171"/>
      <w:bookmarkStart w:id="74" w:name="_Toc87889260"/>
      <w:bookmarkStart w:id="75" w:name="_Toc94170361"/>
      <w:r>
        <w:rPr>
          <w:rFonts w:cs="Arial"/>
          <w:b w:val="0"/>
          <w:bCs w:val="0"/>
        </w:rPr>
        <w:t>2.6.3</w:t>
      </w:r>
      <w:r>
        <w:rPr>
          <w:rFonts w:cs="Arial"/>
          <w:b w:val="0"/>
          <w:bCs w:val="0"/>
        </w:rPr>
        <w:tab/>
      </w:r>
      <w:r>
        <w:rPr>
          <w:rFonts w:hint="eastAsia" w:cs="Arial"/>
          <w:b w:val="0"/>
          <w:bCs w:val="0"/>
          <w:lang w:val="en-US" w:eastAsia="zh-CN"/>
        </w:rPr>
        <w:t>ATG</w:t>
      </w:r>
      <w:r>
        <w:rPr>
          <w:rFonts w:cs="Arial"/>
          <w:b w:val="0"/>
          <w:bCs w:val="0"/>
        </w:rPr>
        <w:t xml:space="preserve"> DL TPC</w:t>
      </w:r>
      <w:bookmarkEnd w:id="71"/>
      <w:bookmarkEnd w:id="72"/>
      <w:bookmarkEnd w:id="73"/>
      <w:bookmarkEnd w:id="74"/>
      <w:bookmarkEnd w:id="75"/>
    </w:p>
    <w:p>
      <w:pPr>
        <w:rPr>
          <w:lang w:val="sv-SE"/>
        </w:rPr>
      </w:pPr>
      <w:r>
        <w:rPr>
          <w:lang w:val="sv-SE"/>
        </w:rPr>
        <w:t>For downlink scenario, no power control scheme is applied.</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76" w:name="_Toc94170362"/>
      <w:bookmarkStart w:id="77" w:name="_Toc104502886"/>
      <w:bookmarkStart w:id="78" w:name="_Toc87889261"/>
      <w:bookmarkStart w:id="79" w:name="_Toc104210174"/>
      <w:bookmarkStart w:id="80" w:name="_Toc104122368"/>
      <w:r>
        <w:rPr>
          <w:rFonts w:hint="eastAsia" w:ascii="Arial" w:hAnsi="Arial" w:cs="Arial"/>
          <w:sz w:val="28"/>
          <w:szCs w:val="28"/>
          <w:lang w:val="en-US" w:eastAsia="zh-CN"/>
        </w:rPr>
        <w:t>2.7. Received power model</w:t>
      </w:r>
      <w:bookmarkEnd w:id="76"/>
      <w:bookmarkEnd w:id="77"/>
      <w:bookmarkEnd w:id="78"/>
      <w:bookmarkEnd w:id="79"/>
      <w:bookmarkEnd w:id="80"/>
    </w:p>
    <w:p>
      <w:r>
        <w:t>The received power in downlink and uplink scenarios is defined as below:</w:t>
      </w:r>
    </w:p>
    <w:p>
      <w:pPr>
        <w:pStyle w:val="42"/>
        <w:jc w:val="center"/>
        <w:rPr>
          <w:i/>
        </w:rPr>
      </w:pPr>
      <w:r>
        <w:rPr>
          <w:i/>
        </w:rPr>
        <w:t>RX_PWR = TX_PWR – Path loss + G_TX + G_RX</w:t>
      </w:r>
    </w:p>
    <w:p>
      <w:r>
        <w:rPr>
          <w:rFonts w:hint="eastAsia"/>
          <w:lang w:eastAsia="zh-CN"/>
        </w:rPr>
        <w:t>w</w:t>
      </w:r>
      <w:r>
        <w:t>here:</w:t>
      </w:r>
      <w:r>
        <w:tab/>
      </w:r>
      <w:r>
        <w:tab/>
      </w:r>
      <w:r>
        <w:tab/>
      </w:r>
    </w:p>
    <w:p>
      <w:pPr>
        <w:pStyle w:val="49"/>
      </w:pPr>
      <w:r>
        <w:t>-</w:t>
      </w:r>
      <w:r>
        <w:tab/>
      </w:r>
      <w:r>
        <w:t>RX_PWR is the received power</w:t>
      </w:r>
    </w:p>
    <w:p>
      <w:pPr>
        <w:pStyle w:val="49"/>
      </w:pPr>
      <w:r>
        <w:t>-</w:t>
      </w:r>
      <w:r>
        <w:tab/>
      </w:r>
      <w:r>
        <w:t>TX_PWR is the transmitted power</w:t>
      </w:r>
    </w:p>
    <w:p>
      <w:pPr>
        <w:pStyle w:val="49"/>
      </w:pPr>
      <w:r>
        <w:t>-</w:t>
      </w:r>
      <w:r>
        <w:tab/>
      </w:r>
      <w:r>
        <w:t>G_TX is the transmitter antenna gain (directional array gain)</w:t>
      </w:r>
    </w:p>
    <w:p>
      <w:pPr>
        <w:pStyle w:val="49"/>
      </w:pPr>
      <w:r>
        <w:t>-</w:t>
      </w:r>
      <w:r>
        <w:tab/>
      </w:r>
      <w:r>
        <w:t>G_RX is the receiver antenna gain (directional array gain).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1" w:name="_Toc104502887"/>
      <w:bookmarkStart w:id="82" w:name="_Toc87889262"/>
      <w:bookmarkStart w:id="83" w:name="_Toc104210175"/>
      <w:bookmarkStart w:id="84" w:name="_Toc104122369"/>
      <w:bookmarkStart w:id="85" w:name="_Toc94170363"/>
      <w:r>
        <w:rPr>
          <w:rFonts w:hint="eastAsia" w:ascii="Arial" w:hAnsi="Arial" w:cs="Arial"/>
          <w:sz w:val="28"/>
          <w:szCs w:val="28"/>
          <w:lang w:val="en-US" w:eastAsia="zh-CN"/>
        </w:rPr>
        <w:t>2.8. Performance metric</w:t>
      </w:r>
      <w:bookmarkEnd w:id="81"/>
      <w:bookmarkEnd w:id="82"/>
      <w:bookmarkEnd w:id="83"/>
      <w:bookmarkEnd w:id="84"/>
      <w:bookmarkEnd w:id="85"/>
    </w:p>
    <w:p>
      <w:r>
        <w:rPr>
          <w:rFonts w:hint="eastAsia"/>
        </w:rPr>
        <w:t>For NR,</w:t>
      </w:r>
      <w:r>
        <w:t xml:space="preserve"> t</w:t>
      </w:r>
      <w:r>
        <w:rPr>
          <w:rFonts w:hint="eastAsia"/>
        </w:rPr>
        <w:t>he average throughput loss and 5%-ile throughput loss should be less than 5%.</w:t>
      </w:r>
    </w:p>
    <w:p>
      <w:r>
        <w:t>F</w:t>
      </w:r>
      <w:r>
        <w:rPr>
          <w:rFonts w:hint="eastAsia"/>
        </w:rPr>
        <w:t>or</w:t>
      </w:r>
      <w:r>
        <w:rPr>
          <w:rFonts w:hint="eastAsia"/>
          <w:lang w:val="en-US" w:eastAsia="zh-CN"/>
        </w:rPr>
        <w:t xml:space="preserve"> ATG</w:t>
      </w:r>
      <w:r>
        <w:rPr>
          <w:rFonts w:hint="eastAsia"/>
        </w:rPr>
        <w:t>,</w:t>
      </w:r>
      <w:r>
        <w:t xml:space="preserve"> the average throughput loss and 5%-ile throughput loss should be less than 5%.</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6" w:name="_Toc94170364"/>
      <w:bookmarkStart w:id="87" w:name="_Toc104210176"/>
      <w:bookmarkStart w:id="88" w:name="_Toc104122370"/>
      <w:bookmarkStart w:id="89" w:name="_Toc104502888"/>
      <w:bookmarkStart w:id="90" w:name="_Toc87889263"/>
      <w:r>
        <w:rPr>
          <w:rFonts w:hint="eastAsia" w:ascii="Arial" w:hAnsi="Arial" w:cs="Arial"/>
          <w:sz w:val="28"/>
          <w:szCs w:val="28"/>
          <w:lang w:val="en-US" w:eastAsia="zh-CN"/>
        </w:rPr>
        <w:t>2.9. Throughput ~ SNR mapping</w:t>
      </w:r>
      <w:bookmarkEnd w:id="86"/>
      <w:bookmarkEnd w:id="87"/>
      <w:bookmarkEnd w:id="88"/>
      <w:bookmarkEnd w:id="89"/>
      <w:bookmarkEnd w:id="90"/>
    </w:p>
    <w:p>
      <w:r>
        <w:t xml:space="preserve">The following equations </w:t>
      </w:r>
      <w:r>
        <w:rPr>
          <w:lang w:eastAsia="ja-JP"/>
        </w:rPr>
        <w:t>approximate</w:t>
      </w:r>
      <w:r>
        <w:t xml:space="preserve"> the throughput over a channel with a given</w:t>
      </w:r>
      <w:r>
        <w:rPr>
          <w:rFonts w:hint="eastAsia"/>
          <w:lang w:eastAsia="zh-CN"/>
        </w:rPr>
        <w:t xml:space="preserve"> SNIR</w:t>
      </w:r>
      <w:r>
        <w:t>, when using link adaptation:</w:t>
      </w:r>
    </w:p>
    <w:p>
      <w:pPr>
        <w:rPr>
          <w:rFonts w:eastAsia="MS Mincho" w:cs="Arial"/>
          <w:sz w:val="22"/>
          <w:szCs w:val="22"/>
        </w:rPr>
      </w:pPr>
      <w:r>
        <w:drawing>
          <wp:inline distT="0" distB="0" distL="114300" distR="114300">
            <wp:extent cx="5006340" cy="922020"/>
            <wp:effectExtent l="0" t="0" r="3810" b="1143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12"/>
                    <a:stretch>
                      <a:fillRect/>
                    </a:stretch>
                  </pic:blipFill>
                  <pic:spPr>
                    <a:xfrm>
                      <a:off x="0" y="0"/>
                      <a:ext cx="5006340" cy="922020"/>
                    </a:xfrm>
                    <a:prstGeom prst="rect">
                      <a:avLst/>
                    </a:prstGeom>
                    <a:noFill/>
                    <a:ln>
                      <a:noFill/>
                    </a:ln>
                  </pic:spPr>
                </pic:pic>
              </a:graphicData>
            </a:graphic>
          </wp:inline>
        </w:drawing>
      </w:r>
    </w:p>
    <w:p>
      <w:pPr>
        <w:rPr>
          <w:rFonts w:eastAsia="MS Mincho" w:cs="Arial"/>
          <w:sz w:val="22"/>
          <w:szCs w:val="22"/>
        </w:rPr>
      </w:pPr>
      <w:r>
        <w:rPr>
          <w:rFonts w:eastAsia="MS Mincho" w:cs="Arial"/>
          <w:sz w:val="22"/>
          <w:szCs w:val="22"/>
        </w:rPr>
        <w:t>Where:</w:t>
      </w:r>
      <w:r>
        <w:rPr>
          <w:rFonts w:eastAsia="MS Mincho" w:cs="Arial"/>
          <w:sz w:val="22"/>
          <w:szCs w:val="22"/>
        </w:rPr>
        <w:tab/>
      </w:r>
    </w:p>
    <w:p>
      <w:r>
        <w:rPr>
          <w:rFonts w:eastAsia="MS Mincho" w:cs="Arial"/>
          <w:sz w:val="22"/>
          <w:szCs w:val="22"/>
        </w:rPr>
        <w:t>S(S</w:t>
      </w:r>
      <w:r>
        <w:rPr>
          <w:rFonts w:eastAsia="宋体" w:cs="Arial"/>
          <w:sz w:val="22"/>
          <w:szCs w:val="22"/>
        </w:rPr>
        <w:t>NI</w:t>
      </w:r>
      <w:r>
        <w:rPr>
          <w:rFonts w:eastAsia="MS Mincho" w:cs="Arial"/>
          <w:sz w:val="22"/>
          <w:szCs w:val="22"/>
        </w:rPr>
        <w:t>R)</w:t>
      </w:r>
      <w:r>
        <w:rPr>
          <w:rFonts w:eastAsia="MS Mincho" w:cs="Arial"/>
          <w:sz w:val="22"/>
          <w:szCs w:val="22"/>
        </w:rPr>
        <w:tab/>
      </w:r>
      <w:r>
        <w:rPr>
          <w:rFonts w:eastAsia="MS Mincho" w:cs="Arial"/>
          <w:sz w:val="22"/>
          <w:szCs w:val="22"/>
        </w:rPr>
        <w:t>Shannon bound, S(S</w:t>
      </w:r>
      <w:r>
        <w:rPr>
          <w:rFonts w:eastAsia="宋体" w:cs="Arial"/>
          <w:sz w:val="22"/>
          <w:szCs w:val="22"/>
        </w:rPr>
        <w:t>NI</w:t>
      </w:r>
      <w:r>
        <w:rPr>
          <w:rFonts w:eastAsia="MS Mincho" w:cs="Arial"/>
          <w:sz w:val="22"/>
          <w:szCs w:val="22"/>
        </w:rPr>
        <w:t>R) =log</w:t>
      </w:r>
      <w:r>
        <w:rPr>
          <w:rFonts w:eastAsia="MS Mincho" w:cs="Arial"/>
          <w:sz w:val="22"/>
          <w:szCs w:val="22"/>
          <w:vertAlign w:val="subscript"/>
        </w:rPr>
        <w:t>2</w:t>
      </w:r>
      <w:r>
        <w:rPr>
          <w:rFonts w:eastAsia="MS Mincho" w:cs="Arial"/>
          <w:sz w:val="22"/>
          <w:szCs w:val="22"/>
        </w:rPr>
        <w:t>(1+S</w:t>
      </w:r>
      <w:r>
        <w:rPr>
          <w:rFonts w:eastAsia="宋体" w:cs="Arial"/>
          <w:sz w:val="22"/>
          <w:szCs w:val="22"/>
        </w:rPr>
        <w:t>NI</w:t>
      </w:r>
      <w:r>
        <w:rPr>
          <w:rFonts w:eastAsia="MS Mincho" w:cs="Arial"/>
          <w:sz w:val="22"/>
          <w:szCs w:val="22"/>
        </w:rPr>
        <w:t>R) [bps/Hz]</w:t>
      </w:r>
      <w:r>
        <w:rPr>
          <w:rFonts w:eastAsia="MS Mincho" w:cs="Arial"/>
          <w:sz w:val="22"/>
          <w:szCs w:val="22"/>
          <w:lang w:eastAsia="ja-JP"/>
        </w:rPr>
        <w:br w:type="textWrapping"/>
      </w:r>
      <w:r>
        <w:rPr>
          <w:rFonts w:eastAsia="MS Mincho" w:cs="Arial"/>
          <w:sz w:val="22"/>
          <w:szCs w:val="22"/>
        </w:rPr>
        <w:sym w:font="Symbol" w:char="F061"/>
      </w:r>
      <w:r>
        <w:rPr>
          <w:rFonts w:eastAsia="MS Mincho" w:cs="Arial"/>
          <w:sz w:val="22"/>
          <w:szCs w:val="22"/>
        </w:rPr>
        <w:tab/>
      </w:r>
      <w:r>
        <w:rPr>
          <w:rFonts w:eastAsia="MS Mincho" w:cs="Arial"/>
          <w:sz w:val="22"/>
          <w:szCs w:val="22"/>
        </w:rPr>
        <w:tab/>
      </w:r>
      <w:r>
        <w:rPr>
          <w:rFonts w:eastAsia="MS Mincho" w:cs="Arial"/>
          <w:sz w:val="22"/>
          <w:szCs w:val="22"/>
        </w:rPr>
        <w:t>Attenuation factor, representing implementation losses</w:t>
      </w:r>
      <w:r>
        <w:rPr>
          <w:rFonts w:eastAsia="MS Mincho" w:cs="Arial"/>
          <w:sz w:val="22"/>
          <w:szCs w:val="22"/>
          <w:lang w:eastAsia="ja-JP"/>
        </w:rPr>
        <w:br w:type="textWrapping"/>
      </w:r>
      <w:r>
        <w:t>SNIR</w:t>
      </w:r>
      <w:r>
        <w:rPr>
          <w:vertAlign w:val="subscript"/>
        </w:rPr>
        <w:t>MIN</w:t>
      </w:r>
      <w:r>
        <w:t xml:space="preserve">  </w:t>
      </w:r>
      <w:r>
        <w:tab/>
      </w:r>
      <w:r>
        <w:t>Minimum SN</w:t>
      </w:r>
      <w:r>
        <w:rPr>
          <w:lang w:eastAsia="ja-JP"/>
        </w:rPr>
        <w:t>I</w:t>
      </w:r>
      <w:r>
        <w:t>R of the code</w:t>
      </w:r>
      <w:r>
        <w:rPr>
          <w:rFonts w:hint="eastAsia"/>
          <w:lang w:eastAsia="zh-CN"/>
        </w:rPr>
        <w:t xml:space="preserve"> </w:t>
      </w:r>
      <w:r>
        <w:t>set, dB</w:t>
      </w:r>
      <w:r>
        <w:rPr>
          <w:lang w:eastAsia="ja-JP"/>
        </w:rPr>
        <w:br w:type="textWrapping"/>
      </w:r>
      <w:r>
        <w:t>SN</w:t>
      </w:r>
      <w:r>
        <w:rPr>
          <w:lang w:eastAsia="ja-JP"/>
        </w:rPr>
        <w:t>I</w:t>
      </w:r>
      <w:r>
        <w:t>R</w:t>
      </w:r>
      <w:r>
        <w:rPr>
          <w:vertAlign w:val="subscript"/>
        </w:rPr>
        <w:t>MAX</w:t>
      </w:r>
      <w:r>
        <w:t xml:space="preserve"> </w:t>
      </w:r>
      <w:r>
        <w:tab/>
      </w:r>
      <w:r>
        <w:t>Maximum SN</w:t>
      </w:r>
      <w:r>
        <w:rPr>
          <w:lang w:eastAsia="ja-JP"/>
        </w:rPr>
        <w:t>I</w:t>
      </w:r>
      <w:r>
        <w:t xml:space="preserve">R of the </w:t>
      </w:r>
      <w:r>
        <w:rPr>
          <w:rFonts w:hint="eastAsia"/>
          <w:lang w:eastAsia="zh-CN"/>
        </w:rPr>
        <w:t>code set</w:t>
      </w:r>
      <w:r>
        <w:t>, dB</w:t>
      </w:r>
    </w:p>
    <w:p>
      <w:pPr>
        <w:rPr>
          <w:lang w:eastAsia="zh-CN"/>
        </w:rPr>
      </w:pPr>
    </w:p>
    <w:p>
      <w:pPr>
        <w:rPr>
          <w:sz w:val="22"/>
          <w:szCs w:val="22"/>
        </w:rPr>
      </w:pPr>
      <w:r>
        <w:rPr>
          <w:sz w:val="22"/>
          <w:szCs w:val="22"/>
        </w:rPr>
        <w:t xml:space="preserve">The parameters α, </w:t>
      </w:r>
      <w:r>
        <w:rPr>
          <w:rFonts w:hint="eastAsia"/>
          <w:sz w:val="22"/>
          <w:szCs w:val="22"/>
          <w:lang w:eastAsia="zh-CN"/>
        </w:rPr>
        <w:t>SNIR</w:t>
      </w:r>
      <w:r>
        <w:rPr>
          <w:rFonts w:hint="eastAsia"/>
          <w:sz w:val="22"/>
          <w:szCs w:val="22"/>
          <w:vertAlign w:val="subscript"/>
          <w:lang w:eastAsia="zh-CN"/>
        </w:rPr>
        <w:t xml:space="preserve">MIN </w:t>
      </w:r>
      <w:r>
        <w:rPr>
          <w:sz w:val="22"/>
          <w:szCs w:val="22"/>
        </w:rPr>
        <w:t xml:space="preserve">and </w:t>
      </w:r>
      <w:r>
        <w:rPr>
          <w:rFonts w:hint="eastAsia"/>
          <w:sz w:val="22"/>
          <w:szCs w:val="22"/>
          <w:lang w:eastAsia="zh-CN"/>
        </w:rPr>
        <w:t>SNIR</w:t>
      </w:r>
      <w:r>
        <w:rPr>
          <w:rFonts w:hint="eastAsia"/>
          <w:sz w:val="22"/>
          <w:szCs w:val="22"/>
          <w:vertAlign w:val="subscript"/>
          <w:lang w:eastAsia="zh-CN"/>
        </w:rPr>
        <w:t xml:space="preserve">MAX </w:t>
      </w:r>
      <w:r>
        <w:rPr>
          <w:sz w:val="22"/>
          <w:szCs w:val="22"/>
        </w:rPr>
        <w:t xml:space="preserve">can be chosen to represent different modem implementations and link conditions. </w:t>
      </w:r>
      <w:bookmarkStart w:id="91" w:name="OLE_LINK2"/>
      <w:bookmarkStart w:id="92" w:name="OLE_LINK1"/>
      <w:r>
        <w:rPr>
          <w:sz w:val="22"/>
          <w:szCs w:val="22"/>
        </w:rPr>
        <w:t xml:space="preserve">The parameters proposed in table </w:t>
      </w:r>
      <w:r>
        <w:rPr>
          <w:sz w:val="22"/>
          <w:szCs w:val="22"/>
          <w:lang w:eastAsia="ja-JP"/>
        </w:rPr>
        <w:t>2</w:t>
      </w:r>
      <w:r>
        <w:rPr>
          <w:sz w:val="22"/>
          <w:szCs w:val="22"/>
          <w:lang w:eastAsia="zh-CN"/>
        </w:rPr>
        <w:t xml:space="preserve"> </w:t>
      </w:r>
      <w:r>
        <w:rPr>
          <w:sz w:val="22"/>
          <w:szCs w:val="22"/>
        </w:rPr>
        <w:t xml:space="preserve">represent </w:t>
      </w:r>
      <w:bookmarkEnd w:id="91"/>
      <w:bookmarkEnd w:id="92"/>
      <w:r>
        <w:rPr>
          <w:sz w:val="22"/>
          <w:szCs w:val="22"/>
        </w:rPr>
        <w:t xml:space="preserve">a baseline case, which assumes: </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1:1 antenna configurations</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 xml:space="preserve">AWGN channel model </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 xml:space="preserve">Link Adaptation (see </w:t>
      </w:r>
      <w:r>
        <w:rPr>
          <w:sz w:val="22"/>
          <w:szCs w:val="22"/>
        </w:rPr>
        <w:t xml:space="preserve">table </w:t>
      </w:r>
      <w:r>
        <w:rPr>
          <w:sz w:val="22"/>
          <w:szCs w:val="22"/>
          <w:lang w:eastAsia="ja-JP"/>
        </w:rPr>
        <w:t>2</w:t>
      </w:r>
      <w:r>
        <w:rPr>
          <w:rFonts w:eastAsia="宋体" w:cs="Arial"/>
          <w:sz w:val="22"/>
          <w:szCs w:val="22"/>
        </w:rPr>
        <w:t xml:space="preserve"> for details of the highest and lowest rate codes)</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No HARQ</w:t>
      </w:r>
    </w:p>
    <w:p>
      <w:pPr>
        <w:pStyle w:val="11"/>
        <w:jc w:val="center"/>
        <w:rPr>
          <w:rFonts w:eastAsia="宋体"/>
        </w:rPr>
      </w:pPr>
      <w:r>
        <w:t xml:space="preserve">Table 2: </w:t>
      </w:r>
      <w:r>
        <w:rPr>
          <w:rFonts w:eastAsia="MS Mincho"/>
        </w:rPr>
        <w:t>Parameters describing baseline Link Level performance for</w:t>
      </w:r>
      <w:r>
        <w:t xml:space="preserve"> </w:t>
      </w:r>
      <w:r>
        <w:rPr>
          <w:rFonts w:eastAsia="MS Mincho"/>
        </w:rPr>
        <w:t>5G NR</w:t>
      </w:r>
    </w:p>
    <w:tbl>
      <w:tblPr>
        <w:tblStyle w:val="23"/>
        <w:tblW w:w="72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423"/>
        <w:gridCol w:w="525"/>
        <w:gridCol w:w="525"/>
        <w:gridCol w:w="47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Parameter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DL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UL </w:t>
            </w:r>
          </w:p>
        </w:tc>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sz w:val="22"/>
                <w:szCs w:val="22"/>
              </w:rPr>
            </w:pPr>
            <w:r>
              <w:rPr>
                <w:rFonts w:eastAsia="MS Mincho" w:cs="Arial"/>
                <w:sz w:val="22"/>
                <w:szCs w:val="22"/>
              </w:rPr>
              <w:t>α</w:t>
            </w:r>
          </w:p>
        </w:tc>
        <w:tc>
          <w:tcPr>
            <w:tcW w:w="0" w:type="auto"/>
            <w:vAlign w:val="bottom"/>
          </w:tcPr>
          <w:p>
            <w:pPr>
              <w:keepNext/>
              <w:keepLines/>
              <w:jc w:val="center"/>
              <w:rPr>
                <w:rFonts w:eastAsia="MS Mincho" w:cs="Arial"/>
                <w:sz w:val="22"/>
                <w:szCs w:val="22"/>
              </w:rPr>
            </w:pPr>
            <w:r>
              <w:rPr>
                <w:rFonts w:eastAsia="MS Mincho" w:cs="Arial"/>
                <w:sz w:val="22"/>
                <w:szCs w:val="22"/>
              </w:rPr>
              <w:t xml:space="preserve">0.6 </w:t>
            </w:r>
          </w:p>
        </w:tc>
        <w:tc>
          <w:tcPr>
            <w:tcW w:w="0" w:type="auto"/>
            <w:vAlign w:val="bottom"/>
          </w:tcPr>
          <w:p>
            <w:pPr>
              <w:keepNext/>
              <w:keepLines/>
              <w:jc w:val="center"/>
              <w:rPr>
                <w:rFonts w:eastAsia="MS Mincho" w:cs="Arial"/>
                <w:sz w:val="22"/>
                <w:szCs w:val="22"/>
              </w:rPr>
            </w:pPr>
            <w:r>
              <w:rPr>
                <w:rFonts w:eastAsia="MS Mincho" w:cs="Arial"/>
                <w:sz w:val="22"/>
                <w:szCs w:val="22"/>
              </w:rPr>
              <w:t xml:space="preserve">0.4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5"/>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MIN</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5"/>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MAX</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30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22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256QAM 0.93(DL) &amp; 64QAM 0.93 (UL) </w:t>
            </w:r>
          </w:p>
        </w:tc>
      </w:tr>
    </w:tbl>
    <w:p>
      <w:pPr>
        <w:pStyle w:val="40"/>
        <w:bidi w:val="0"/>
        <w:ind w:left="0" w:leftChars="0" w:firstLine="0" w:firstLineChars="0"/>
        <w:rPr>
          <w:rFonts w:hint="default"/>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initial views on coexistence study for ATG coexistence and proposals are made as following:</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xml:space="preserve">: to consider the coexistence scenario in Table 2.1-1 and proposed frequency and bandwidth configuration in Table 2.1-2 for ATG coexistence study. </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to use the simulation assumptions in this contribution as baseline for further coexistence study.</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57C42D9"/>
    <w:multiLevelType w:val="multilevel"/>
    <w:tmpl w:val="257C42D9"/>
    <w:lvl w:ilvl="0" w:tentative="0">
      <w:start w:val="1"/>
      <w:numFmt w:val="bullet"/>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62CC4"/>
    <w:rsid w:val="016800B9"/>
    <w:rsid w:val="017059E0"/>
    <w:rsid w:val="01791D2E"/>
    <w:rsid w:val="01821D8F"/>
    <w:rsid w:val="018C2266"/>
    <w:rsid w:val="018C3642"/>
    <w:rsid w:val="018D7DCE"/>
    <w:rsid w:val="0195201D"/>
    <w:rsid w:val="019C3DA8"/>
    <w:rsid w:val="01A402CD"/>
    <w:rsid w:val="01A5504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E7088"/>
    <w:rsid w:val="0240545F"/>
    <w:rsid w:val="024C13AB"/>
    <w:rsid w:val="0251470E"/>
    <w:rsid w:val="02532AA9"/>
    <w:rsid w:val="025732DD"/>
    <w:rsid w:val="0262197E"/>
    <w:rsid w:val="027035EC"/>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F5F48"/>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A7BB7"/>
    <w:rsid w:val="045C0E21"/>
    <w:rsid w:val="045E1DEE"/>
    <w:rsid w:val="045F23BF"/>
    <w:rsid w:val="04605B56"/>
    <w:rsid w:val="04671100"/>
    <w:rsid w:val="046E568E"/>
    <w:rsid w:val="046F2C8C"/>
    <w:rsid w:val="04786ED3"/>
    <w:rsid w:val="04856247"/>
    <w:rsid w:val="04865E52"/>
    <w:rsid w:val="048829D4"/>
    <w:rsid w:val="049B40DC"/>
    <w:rsid w:val="04B1469E"/>
    <w:rsid w:val="04D158CF"/>
    <w:rsid w:val="04D66461"/>
    <w:rsid w:val="050B4FA8"/>
    <w:rsid w:val="050D6F1E"/>
    <w:rsid w:val="051034CD"/>
    <w:rsid w:val="051F43BC"/>
    <w:rsid w:val="052432F7"/>
    <w:rsid w:val="05280A89"/>
    <w:rsid w:val="05367F8C"/>
    <w:rsid w:val="053E1AC2"/>
    <w:rsid w:val="0545651B"/>
    <w:rsid w:val="05583DC1"/>
    <w:rsid w:val="05587197"/>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334A3F"/>
    <w:rsid w:val="094109B5"/>
    <w:rsid w:val="09444B9B"/>
    <w:rsid w:val="094E3DF1"/>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A1C3B"/>
    <w:rsid w:val="09E14486"/>
    <w:rsid w:val="09E4648F"/>
    <w:rsid w:val="09ED4DC6"/>
    <w:rsid w:val="09F1407D"/>
    <w:rsid w:val="09F21427"/>
    <w:rsid w:val="0A037432"/>
    <w:rsid w:val="0A093274"/>
    <w:rsid w:val="0A145E2C"/>
    <w:rsid w:val="0A223227"/>
    <w:rsid w:val="0A22459E"/>
    <w:rsid w:val="0A2705E1"/>
    <w:rsid w:val="0A2A6A0B"/>
    <w:rsid w:val="0A312533"/>
    <w:rsid w:val="0A335E1D"/>
    <w:rsid w:val="0A3A0D5D"/>
    <w:rsid w:val="0A3E4E5D"/>
    <w:rsid w:val="0A5056C6"/>
    <w:rsid w:val="0A5060D6"/>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744A34"/>
    <w:rsid w:val="0C751214"/>
    <w:rsid w:val="0C767881"/>
    <w:rsid w:val="0C780533"/>
    <w:rsid w:val="0C780F1E"/>
    <w:rsid w:val="0C85742B"/>
    <w:rsid w:val="0C866066"/>
    <w:rsid w:val="0C8726EC"/>
    <w:rsid w:val="0C873353"/>
    <w:rsid w:val="0C885C99"/>
    <w:rsid w:val="0C8B4B61"/>
    <w:rsid w:val="0C9A4387"/>
    <w:rsid w:val="0C9D3F03"/>
    <w:rsid w:val="0C9D474E"/>
    <w:rsid w:val="0CA1546A"/>
    <w:rsid w:val="0CA4660D"/>
    <w:rsid w:val="0CA46672"/>
    <w:rsid w:val="0CA92BAC"/>
    <w:rsid w:val="0CB471A1"/>
    <w:rsid w:val="0CB90F2E"/>
    <w:rsid w:val="0CBB5A0F"/>
    <w:rsid w:val="0CBB7EBC"/>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7AAE"/>
    <w:rsid w:val="0DB76EF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96EA0"/>
    <w:rsid w:val="0E7A2A61"/>
    <w:rsid w:val="0E7C0762"/>
    <w:rsid w:val="0E8118C0"/>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5524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27763"/>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C36E2"/>
    <w:rsid w:val="13EC734F"/>
    <w:rsid w:val="13F22B81"/>
    <w:rsid w:val="13FD4FCC"/>
    <w:rsid w:val="13FE285E"/>
    <w:rsid w:val="1410395F"/>
    <w:rsid w:val="141624C3"/>
    <w:rsid w:val="14220CA7"/>
    <w:rsid w:val="142E6CAD"/>
    <w:rsid w:val="143802F8"/>
    <w:rsid w:val="144442DA"/>
    <w:rsid w:val="144C6544"/>
    <w:rsid w:val="14586750"/>
    <w:rsid w:val="14812D74"/>
    <w:rsid w:val="14836C15"/>
    <w:rsid w:val="14862300"/>
    <w:rsid w:val="148C00A0"/>
    <w:rsid w:val="148D3653"/>
    <w:rsid w:val="149E0A7B"/>
    <w:rsid w:val="14A82A63"/>
    <w:rsid w:val="14A86EA4"/>
    <w:rsid w:val="14AC358C"/>
    <w:rsid w:val="14B37FA7"/>
    <w:rsid w:val="14B76730"/>
    <w:rsid w:val="14C767C8"/>
    <w:rsid w:val="14DE753E"/>
    <w:rsid w:val="14F51028"/>
    <w:rsid w:val="14F549EC"/>
    <w:rsid w:val="14F92549"/>
    <w:rsid w:val="14FB4950"/>
    <w:rsid w:val="14FD4800"/>
    <w:rsid w:val="14FE45D8"/>
    <w:rsid w:val="14FF7362"/>
    <w:rsid w:val="150650CB"/>
    <w:rsid w:val="150E6B8B"/>
    <w:rsid w:val="15157DF4"/>
    <w:rsid w:val="151B0462"/>
    <w:rsid w:val="151C45D8"/>
    <w:rsid w:val="15290336"/>
    <w:rsid w:val="15297BD7"/>
    <w:rsid w:val="15303F74"/>
    <w:rsid w:val="155424D6"/>
    <w:rsid w:val="155605E9"/>
    <w:rsid w:val="155B1745"/>
    <w:rsid w:val="155F651D"/>
    <w:rsid w:val="15655F19"/>
    <w:rsid w:val="157348EB"/>
    <w:rsid w:val="157500D8"/>
    <w:rsid w:val="15787FE5"/>
    <w:rsid w:val="157E21FE"/>
    <w:rsid w:val="157E5AA6"/>
    <w:rsid w:val="1587411C"/>
    <w:rsid w:val="159C57E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50A52"/>
    <w:rsid w:val="18533B98"/>
    <w:rsid w:val="18570CA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22FAB"/>
    <w:rsid w:val="18E67034"/>
    <w:rsid w:val="18E872D7"/>
    <w:rsid w:val="18EA68A3"/>
    <w:rsid w:val="18F06558"/>
    <w:rsid w:val="18F3471F"/>
    <w:rsid w:val="18F931E6"/>
    <w:rsid w:val="18FA042B"/>
    <w:rsid w:val="18FE4771"/>
    <w:rsid w:val="19046384"/>
    <w:rsid w:val="19065891"/>
    <w:rsid w:val="191111C7"/>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A1534"/>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9A07CB"/>
    <w:rsid w:val="1BA258AE"/>
    <w:rsid w:val="1BA57F07"/>
    <w:rsid w:val="1BAA3905"/>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60C9"/>
    <w:rsid w:val="1C191CF6"/>
    <w:rsid w:val="1C206F70"/>
    <w:rsid w:val="1C33796F"/>
    <w:rsid w:val="1C341EE3"/>
    <w:rsid w:val="1C441419"/>
    <w:rsid w:val="1C4774DD"/>
    <w:rsid w:val="1C4A45C4"/>
    <w:rsid w:val="1C4B3310"/>
    <w:rsid w:val="1C561E66"/>
    <w:rsid w:val="1C5661AB"/>
    <w:rsid w:val="1C5E3742"/>
    <w:rsid w:val="1C5F23B1"/>
    <w:rsid w:val="1C660240"/>
    <w:rsid w:val="1C663D30"/>
    <w:rsid w:val="1C6D4144"/>
    <w:rsid w:val="1C726EC3"/>
    <w:rsid w:val="1C793EB9"/>
    <w:rsid w:val="1C807142"/>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84015"/>
    <w:rsid w:val="1D6F79AF"/>
    <w:rsid w:val="1D7C6E19"/>
    <w:rsid w:val="1D8F5B72"/>
    <w:rsid w:val="1D8F6826"/>
    <w:rsid w:val="1D9C5DA0"/>
    <w:rsid w:val="1D9C7126"/>
    <w:rsid w:val="1D9F462B"/>
    <w:rsid w:val="1DA265B5"/>
    <w:rsid w:val="1DB26ED0"/>
    <w:rsid w:val="1DB835A9"/>
    <w:rsid w:val="1DC07A05"/>
    <w:rsid w:val="1DC603E1"/>
    <w:rsid w:val="1DEC45ED"/>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2D7C82"/>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20454"/>
    <w:rsid w:val="21330562"/>
    <w:rsid w:val="213D54AD"/>
    <w:rsid w:val="214169BB"/>
    <w:rsid w:val="2144141D"/>
    <w:rsid w:val="214F4863"/>
    <w:rsid w:val="21504A40"/>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63F09"/>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65CB9"/>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6340C"/>
    <w:rsid w:val="24574CEB"/>
    <w:rsid w:val="245D41D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E036A6"/>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125B0D"/>
    <w:rsid w:val="27130E1A"/>
    <w:rsid w:val="27222699"/>
    <w:rsid w:val="272A3F42"/>
    <w:rsid w:val="273216D6"/>
    <w:rsid w:val="273D1CBA"/>
    <w:rsid w:val="27462901"/>
    <w:rsid w:val="2749419F"/>
    <w:rsid w:val="274A7B1A"/>
    <w:rsid w:val="274C7EA9"/>
    <w:rsid w:val="275439E1"/>
    <w:rsid w:val="275658F1"/>
    <w:rsid w:val="276320D7"/>
    <w:rsid w:val="278A6416"/>
    <w:rsid w:val="279408D2"/>
    <w:rsid w:val="279A2ED3"/>
    <w:rsid w:val="27A23025"/>
    <w:rsid w:val="27A46397"/>
    <w:rsid w:val="27B02558"/>
    <w:rsid w:val="27B03EC1"/>
    <w:rsid w:val="27B91021"/>
    <w:rsid w:val="27C06D17"/>
    <w:rsid w:val="27C66099"/>
    <w:rsid w:val="27CA7CDA"/>
    <w:rsid w:val="27FE4240"/>
    <w:rsid w:val="280008FF"/>
    <w:rsid w:val="28050D91"/>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E2A8C"/>
    <w:rsid w:val="28D139F1"/>
    <w:rsid w:val="28D4119A"/>
    <w:rsid w:val="28D5169B"/>
    <w:rsid w:val="28DA6C60"/>
    <w:rsid w:val="28DB0A30"/>
    <w:rsid w:val="28E7672E"/>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7F6ED3"/>
    <w:rsid w:val="29981CF5"/>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D6A07"/>
    <w:rsid w:val="2AF12CDF"/>
    <w:rsid w:val="2AF27DCB"/>
    <w:rsid w:val="2B0726A6"/>
    <w:rsid w:val="2B0C6B23"/>
    <w:rsid w:val="2B0D3C71"/>
    <w:rsid w:val="2B1D6F4B"/>
    <w:rsid w:val="2B2D1363"/>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A252E6"/>
    <w:rsid w:val="2BB44220"/>
    <w:rsid w:val="2BB61EA7"/>
    <w:rsid w:val="2BBA6EF5"/>
    <w:rsid w:val="2BC01081"/>
    <w:rsid w:val="2BC03979"/>
    <w:rsid w:val="2BC6496E"/>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164C9"/>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C5A2F"/>
    <w:rsid w:val="2D0E231B"/>
    <w:rsid w:val="2D145154"/>
    <w:rsid w:val="2D1547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5608F9"/>
    <w:rsid w:val="2E59206F"/>
    <w:rsid w:val="2E6B29AA"/>
    <w:rsid w:val="2E6F4813"/>
    <w:rsid w:val="2E705752"/>
    <w:rsid w:val="2E7622E7"/>
    <w:rsid w:val="2E7A5E34"/>
    <w:rsid w:val="2E7B65BB"/>
    <w:rsid w:val="2E855C37"/>
    <w:rsid w:val="2E8863A8"/>
    <w:rsid w:val="2E8F09A4"/>
    <w:rsid w:val="2E993370"/>
    <w:rsid w:val="2E9A086A"/>
    <w:rsid w:val="2EA049A8"/>
    <w:rsid w:val="2EA26ABE"/>
    <w:rsid w:val="2EA72F10"/>
    <w:rsid w:val="2EA74B75"/>
    <w:rsid w:val="2EB61295"/>
    <w:rsid w:val="2EC414ED"/>
    <w:rsid w:val="2EC71A13"/>
    <w:rsid w:val="2ED24577"/>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D84674"/>
    <w:rsid w:val="2FDB17E1"/>
    <w:rsid w:val="2FE20568"/>
    <w:rsid w:val="2FE37171"/>
    <w:rsid w:val="2FF117AD"/>
    <w:rsid w:val="2FF17999"/>
    <w:rsid w:val="2FF40BAE"/>
    <w:rsid w:val="2FF95633"/>
    <w:rsid w:val="30010F70"/>
    <w:rsid w:val="300F7F13"/>
    <w:rsid w:val="30140148"/>
    <w:rsid w:val="30151A88"/>
    <w:rsid w:val="301E3C00"/>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A7AEE"/>
    <w:rsid w:val="31FB60C5"/>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AA6E8C"/>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E29B0"/>
    <w:rsid w:val="33924A39"/>
    <w:rsid w:val="339902E6"/>
    <w:rsid w:val="339D35FC"/>
    <w:rsid w:val="33A156DE"/>
    <w:rsid w:val="33B31E2C"/>
    <w:rsid w:val="33B52233"/>
    <w:rsid w:val="33B70359"/>
    <w:rsid w:val="33BA1B32"/>
    <w:rsid w:val="33CB205A"/>
    <w:rsid w:val="33D451B9"/>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F7A0E"/>
    <w:rsid w:val="349A0B7D"/>
    <w:rsid w:val="34A83771"/>
    <w:rsid w:val="34A851E8"/>
    <w:rsid w:val="34B51A96"/>
    <w:rsid w:val="34C800BD"/>
    <w:rsid w:val="34CC1DC7"/>
    <w:rsid w:val="34D47C8A"/>
    <w:rsid w:val="34D874E5"/>
    <w:rsid w:val="34DB0CAC"/>
    <w:rsid w:val="34DD3DF9"/>
    <w:rsid w:val="34DE6678"/>
    <w:rsid w:val="34E972FC"/>
    <w:rsid w:val="34F83EF3"/>
    <w:rsid w:val="34F953E0"/>
    <w:rsid w:val="34FF2166"/>
    <w:rsid w:val="350B69C5"/>
    <w:rsid w:val="351C075B"/>
    <w:rsid w:val="351D7027"/>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C366A9"/>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918B9"/>
    <w:rsid w:val="372A07F2"/>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4864AA"/>
    <w:rsid w:val="3C49796D"/>
    <w:rsid w:val="3C4C4180"/>
    <w:rsid w:val="3C4F7D80"/>
    <w:rsid w:val="3C64689F"/>
    <w:rsid w:val="3C6E7D4D"/>
    <w:rsid w:val="3C740DAA"/>
    <w:rsid w:val="3C750E34"/>
    <w:rsid w:val="3C7C060E"/>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421D47"/>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30390D"/>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A41643"/>
    <w:rsid w:val="43AA06E9"/>
    <w:rsid w:val="43C0281C"/>
    <w:rsid w:val="43C02B26"/>
    <w:rsid w:val="43D10A40"/>
    <w:rsid w:val="43D67A91"/>
    <w:rsid w:val="43E21F58"/>
    <w:rsid w:val="43E35EF0"/>
    <w:rsid w:val="43F76F69"/>
    <w:rsid w:val="43F90FED"/>
    <w:rsid w:val="43FC0DB2"/>
    <w:rsid w:val="44095B4D"/>
    <w:rsid w:val="440C5D56"/>
    <w:rsid w:val="441356E4"/>
    <w:rsid w:val="44153F0C"/>
    <w:rsid w:val="44174583"/>
    <w:rsid w:val="441A5200"/>
    <w:rsid w:val="4425456D"/>
    <w:rsid w:val="44336EAB"/>
    <w:rsid w:val="44393BD3"/>
    <w:rsid w:val="444109FB"/>
    <w:rsid w:val="444E22EA"/>
    <w:rsid w:val="44584267"/>
    <w:rsid w:val="446D5306"/>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30606"/>
    <w:rsid w:val="456C4CA4"/>
    <w:rsid w:val="457736FF"/>
    <w:rsid w:val="45790DCE"/>
    <w:rsid w:val="457E31A2"/>
    <w:rsid w:val="458B757C"/>
    <w:rsid w:val="458D679F"/>
    <w:rsid w:val="459026D9"/>
    <w:rsid w:val="45917B8A"/>
    <w:rsid w:val="459B634C"/>
    <w:rsid w:val="459F2381"/>
    <w:rsid w:val="45A74FA6"/>
    <w:rsid w:val="45B315CE"/>
    <w:rsid w:val="45B64B84"/>
    <w:rsid w:val="45DF3F62"/>
    <w:rsid w:val="45E37678"/>
    <w:rsid w:val="45E526A6"/>
    <w:rsid w:val="45E56E31"/>
    <w:rsid w:val="45E66893"/>
    <w:rsid w:val="45E826B2"/>
    <w:rsid w:val="45F4334C"/>
    <w:rsid w:val="460D3781"/>
    <w:rsid w:val="46365246"/>
    <w:rsid w:val="46466453"/>
    <w:rsid w:val="464871AD"/>
    <w:rsid w:val="464A6F2D"/>
    <w:rsid w:val="465918B0"/>
    <w:rsid w:val="465E5989"/>
    <w:rsid w:val="4662020E"/>
    <w:rsid w:val="466D3070"/>
    <w:rsid w:val="4671651F"/>
    <w:rsid w:val="46787358"/>
    <w:rsid w:val="467929D1"/>
    <w:rsid w:val="4679494F"/>
    <w:rsid w:val="467A6815"/>
    <w:rsid w:val="467B53A9"/>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563D"/>
    <w:rsid w:val="46F37479"/>
    <w:rsid w:val="46FC2FE8"/>
    <w:rsid w:val="47033281"/>
    <w:rsid w:val="47065799"/>
    <w:rsid w:val="47073BE8"/>
    <w:rsid w:val="470872CF"/>
    <w:rsid w:val="470D53CA"/>
    <w:rsid w:val="471563E1"/>
    <w:rsid w:val="47167C67"/>
    <w:rsid w:val="47333B1B"/>
    <w:rsid w:val="47351654"/>
    <w:rsid w:val="473D0BD8"/>
    <w:rsid w:val="47457188"/>
    <w:rsid w:val="4763716E"/>
    <w:rsid w:val="47644CFB"/>
    <w:rsid w:val="47666951"/>
    <w:rsid w:val="476825ED"/>
    <w:rsid w:val="47683159"/>
    <w:rsid w:val="476A7D07"/>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61BB8"/>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AEB"/>
    <w:rsid w:val="4CDA21DD"/>
    <w:rsid w:val="4CE472E9"/>
    <w:rsid w:val="4CF04CFC"/>
    <w:rsid w:val="4CF05C74"/>
    <w:rsid w:val="4CF26BC3"/>
    <w:rsid w:val="4CFB51DB"/>
    <w:rsid w:val="4CFC3F2E"/>
    <w:rsid w:val="4D0F1680"/>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3C0154"/>
    <w:rsid w:val="4E412A4D"/>
    <w:rsid w:val="4E4475F5"/>
    <w:rsid w:val="4E587463"/>
    <w:rsid w:val="4E5A3449"/>
    <w:rsid w:val="4E6415B7"/>
    <w:rsid w:val="4E68543B"/>
    <w:rsid w:val="4E6906EE"/>
    <w:rsid w:val="4E694E99"/>
    <w:rsid w:val="4E6D1740"/>
    <w:rsid w:val="4E7125DA"/>
    <w:rsid w:val="4E784D1C"/>
    <w:rsid w:val="4E795FE9"/>
    <w:rsid w:val="4E797F06"/>
    <w:rsid w:val="4E8D3751"/>
    <w:rsid w:val="4E8D409B"/>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B3642"/>
    <w:rsid w:val="533E0346"/>
    <w:rsid w:val="534246C3"/>
    <w:rsid w:val="53495ACD"/>
    <w:rsid w:val="535337EC"/>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C3D29"/>
    <w:rsid w:val="53F90D34"/>
    <w:rsid w:val="54002BFD"/>
    <w:rsid w:val="541942B6"/>
    <w:rsid w:val="542A3FEF"/>
    <w:rsid w:val="542A5504"/>
    <w:rsid w:val="542F7A60"/>
    <w:rsid w:val="54346136"/>
    <w:rsid w:val="544206A3"/>
    <w:rsid w:val="5452765B"/>
    <w:rsid w:val="54550067"/>
    <w:rsid w:val="54580F5A"/>
    <w:rsid w:val="54662360"/>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503E3"/>
    <w:rsid w:val="54E95643"/>
    <w:rsid w:val="550436A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214A7B"/>
    <w:rsid w:val="562E1F90"/>
    <w:rsid w:val="56373380"/>
    <w:rsid w:val="563B616D"/>
    <w:rsid w:val="56436207"/>
    <w:rsid w:val="56456373"/>
    <w:rsid w:val="56580192"/>
    <w:rsid w:val="565B61BB"/>
    <w:rsid w:val="566510CB"/>
    <w:rsid w:val="567215D4"/>
    <w:rsid w:val="567A6CC0"/>
    <w:rsid w:val="567E4F7B"/>
    <w:rsid w:val="568679CF"/>
    <w:rsid w:val="568D0940"/>
    <w:rsid w:val="568F55E8"/>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17EFE"/>
    <w:rsid w:val="57292292"/>
    <w:rsid w:val="572E4793"/>
    <w:rsid w:val="572E7E52"/>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E3A90"/>
    <w:rsid w:val="57886A0D"/>
    <w:rsid w:val="57896321"/>
    <w:rsid w:val="579A7C07"/>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249D0"/>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61C78"/>
    <w:rsid w:val="5A682C88"/>
    <w:rsid w:val="5A6B7C88"/>
    <w:rsid w:val="5A73612A"/>
    <w:rsid w:val="5A877288"/>
    <w:rsid w:val="5A8F76C1"/>
    <w:rsid w:val="5A921A04"/>
    <w:rsid w:val="5A9A0A66"/>
    <w:rsid w:val="5AA541CF"/>
    <w:rsid w:val="5AAF48E4"/>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500AF8"/>
    <w:rsid w:val="5C517866"/>
    <w:rsid w:val="5C523483"/>
    <w:rsid w:val="5C5348B4"/>
    <w:rsid w:val="5C5E033F"/>
    <w:rsid w:val="5C663D77"/>
    <w:rsid w:val="5C6875EE"/>
    <w:rsid w:val="5C6F12DC"/>
    <w:rsid w:val="5C7A2919"/>
    <w:rsid w:val="5C8C7EA5"/>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B2715"/>
    <w:rsid w:val="5D8D250E"/>
    <w:rsid w:val="5D8F399C"/>
    <w:rsid w:val="5D8F6111"/>
    <w:rsid w:val="5D915AFD"/>
    <w:rsid w:val="5D9404A9"/>
    <w:rsid w:val="5D9557B5"/>
    <w:rsid w:val="5D9A23F4"/>
    <w:rsid w:val="5D9F6617"/>
    <w:rsid w:val="5D9F7C74"/>
    <w:rsid w:val="5DAB2CF5"/>
    <w:rsid w:val="5DAE2E8C"/>
    <w:rsid w:val="5DAE7F34"/>
    <w:rsid w:val="5DB65502"/>
    <w:rsid w:val="5DD70750"/>
    <w:rsid w:val="5DE44DF4"/>
    <w:rsid w:val="5DED4540"/>
    <w:rsid w:val="5E00720B"/>
    <w:rsid w:val="5E012896"/>
    <w:rsid w:val="5E0825B2"/>
    <w:rsid w:val="5E0A6049"/>
    <w:rsid w:val="5E156B70"/>
    <w:rsid w:val="5E1574AD"/>
    <w:rsid w:val="5E21165A"/>
    <w:rsid w:val="5E226508"/>
    <w:rsid w:val="5E2368B5"/>
    <w:rsid w:val="5E344390"/>
    <w:rsid w:val="5E352EB6"/>
    <w:rsid w:val="5E365B28"/>
    <w:rsid w:val="5E400BF0"/>
    <w:rsid w:val="5E4250B0"/>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E55DDE"/>
    <w:rsid w:val="5EF04AC4"/>
    <w:rsid w:val="5EF47473"/>
    <w:rsid w:val="5EF51EEF"/>
    <w:rsid w:val="5EFE064F"/>
    <w:rsid w:val="5F061DE5"/>
    <w:rsid w:val="5F09081F"/>
    <w:rsid w:val="5F1111AD"/>
    <w:rsid w:val="5F121A0D"/>
    <w:rsid w:val="5F1B27DE"/>
    <w:rsid w:val="5F205DAE"/>
    <w:rsid w:val="5F2C64A1"/>
    <w:rsid w:val="5F39582E"/>
    <w:rsid w:val="5F405CF4"/>
    <w:rsid w:val="5F45602C"/>
    <w:rsid w:val="5F4632C4"/>
    <w:rsid w:val="5F482400"/>
    <w:rsid w:val="5F4A58A7"/>
    <w:rsid w:val="5F527FC9"/>
    <w:rsid w:val="5F531ECF"/>
    <w:rsid w:val="5F57147C"/>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661C2"/>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F7544"/>
    <w:rsid w:val="61455CF4"/>
    <w:rsid w:val="61466898"/>
    <w:rsid w:val="61527CE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A29D8"/>
    <w:rsid w:val="625B2CDA"/>
    <w:rsid w:val="625B47C2"/>
    <w:rsid w:val="62630C6B"/>
    <w:rsid w:val="627301E8"/>
    <w:rsid w:val="6295194F"/>
    <w:rsid w:val="6299295E"/>
    <w:rsid w:val="629A07BC"/>
    <w:rsid w:val="62A33CA7"/>
    <w:rsid w:val="62AC2BCD"/>
    <w:rsid w:val="62B94634"/>
    <w:rsid w:val="62BA3B2B"/>
    <w:rsid w:val="62C37511"/>
    <w:rsid w:val="62D11C3F"/>
    <w:rsid w:val="62D67D61"/>
    <w:rsid w:val="62E157FC"/>
    <w:rsid w:val="62E54A06"/>
    <w:rsid w:val="62E81148"/>
    <w:rsid w:val="62E83A0D"/>
    <w:rsid w:val="62ED1945"/>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D92331"/>
    <w:rsid w:val="63E263F4"/>
    <w:rsid w:val="63E418C9"/>
    <w:rsid w:val="63E94E5A"/>
    <w:rsid w:val="63FB6EC6"/>
    <w:rsid w:val="63FD7654"/>
    <w:rsid w:val="640C2BB6"/>
    <w:rsid w:val="6411454E"/>
    <w:rsid w:val="643F3FFC"/>
    <w:rsid w:val="644A69BC"/>
    <w:rsid w:val="644D6FD8"/>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C7E43"/>
    <w:rsid w:val="655754CB"/>
    <w:rsid w:val="655E2D72"/>
    <w:rsid w:val="656171FC"/>
    <w:rsid w:val="65635CAF"/>
    <w:rsid w:val="65636611"/>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92022"/>
    <w:rsid w:val="672A4901"/>
    <w:rsid w:val="67331724"/>
    <w:rsid w:val="673360E2"/>
    <w:rsid w:val="67346319"/>
    <w:rsid w:val="67441B08"/>
    <w:rsid w:val="674E2802"/>
    <w:rsid w:val="674F6E76"/>
    <w:rsid w:val="67513E69"/>
    <w:rsid w:val="675A17FE"/>
    <w:rsid w:val="67617AF0"/>
    <w:rsid w:val="67671D7D"/>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D26AA"/>
    <w:rsid w:val="68AE2B22"/>
    <w:rsid w:val="68BC14B0"/>
    <w:rsid w:val="68BC512A"/>
    <w:rsid w:val="68BF0078"/>
    <w:rsid w:val="68C20D16"/>
    <w:rsid w:val="68DA02E4"/>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67088"/>
    <w:rsid w:val="696F3842"/>
    <w:rsid w:val="69731101"/>
    <w:rsid w:val="6974083C"/>
    <w:rsid w:val="697D087B"/>
    <w:rsid w:val="69807B1E"/>
    <w:rsid w:val="699562F0"/>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44359"/>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D09E5"/>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D0481"/>
    <w:rsid w:val="6B0E002C"/>
    <w:rsid w:val="6B11682D"/>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B00B1"/>
    <w:rsid w:val="6BBD3E9D"/>
    <w:rsid w:val="6BC03721"/>
    <w:rsid w:val="6BC51A97"/>
    <w:rsid w:val="6BCC01D5"/>
    <w:rsid w:val="6BCF2DCA"/>
    <w:rsid w:val="6BD72624"/>
    <w:rsid w:val="6BDD0493"/>
    <w:rsid w:val="6BDE54AC"/>
    <w:rsid w:val="6BE068F6"/>
    <w:rsid w:val="6BE072B5"/>
    <w:rsid w:val="6BEC52EB"/>
    <w:rsid w:val="6BF229CE"/>
    <w:rsid w:val="6BF25C39"/>
    <w:rsid w:val="6C06150E"/>
    <w:rsid w:val="6C072806"/>
    <w:rsid w:val="6C140094"/>
    <w:rsid w:val="6C155F31"/>
    <w:rsid w:val="6C206E21"/>
    <w:rsid w:val="6C263A06"/>
    <w:rsid w:val="6C3A624E"/>
    <w:rsid w:val="6C3F4795"/>
    <w:rsid w:val="6C431738"/>
    <w:rsid w:val="6C505966"/>
    <w:rsid w:val="6C5D04BB"/>
    <w:rsid w:val="6C666C3C"/>
    <w:rsid w:val="6C6833E1"/>
    <w:rsid w:val="6C6D48B6"/>
    <w:rsid w:val="6C8035BD"/>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2F54"/>
    <w:rsid w:val="6D770FC8"/>
    <w:rsid w:val="6D7D5646"/>
    <w:rsid w:val="6D816186"/>
    <w:rsid w:val="6D90338E"/>
    <w:rsid w:val="6D925740"/>
    <w:rsid w:val="6D9D3EE4"/>
    <w:rsid w:val="6D9E7C69"/>
    <w:rsid w:val="6DA71839"/>
    <w:rsid w:val="6DA84071"/>
    <w:rsid w:val="6DB20233"/>
    <w:rsid w:val="6DB81D13"/>
    <w:rsid w:val="6DC54D30"/>
    <w:rsid w:val="6DC65806"/>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42A60"/>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47264"/>
    <w:rsid w:val="70F04773"/>
    <w:rsid w:val="710524E2"/>
    <w:rsid w:val="710B03C6"/>
    <w:rsid w:val="7110727C"/>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62143"/>
    <w:rsid w:val="73DB45F5"/>
    <w:rsid w:val="73DD3CB3"/>
    <w:rsid w:val="73DE1AB7"/>
    <w:rsid w:val="73E44595"/>
    <w:rsid w:val="73EC7C9D"/>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87284"/>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34FD8"/>
    <w:rsid w:val="76894819"/>
    <w:rsid w:val="768D57E3"/>
    <w:rsid w:val="769310D2"/>
    <w:rsid w:val="76932317"/>
    <w:rsid w:val="76A53B61"/>
    <w:rsid w:val="76A56898"/>
    <w:rsid w:val="76A85DBC"/>
    <w:rsid w:val="76B153BA"/>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92F7E"/>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31FD5"/>
    <w:rsid w:val="784563AF"/>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515EFA"/>
    <w:rsid w:val="7D635C6D"/>
    <w:rsid w:val="7D64087E"/>
    <w:rsid w:val="7D69117D"/>
    <w:rsid w:val="7D696CB2"/>
    <w:rsid w:val="7D7836CA"/>
    <w:rsid w:val="7D7A555A"/>
    <w:rsid w:val="7D7F5298"/>
    <w:rsid w:val="7D8362BA"/>
    <w:rsid w:val="7D8B7B11"/>
    <w:rsid w:val="7DA843EE"/>
    <w:rsid w:val="7DAB10BD"/>
    <w:rsid w:val="7DB66641"/>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2022-08-10T15:36:26Z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